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大小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头颈肩定位垫：60*80cm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体位定位垫：70*120cm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电子密度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0.21g/cm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-0.29g/cm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穿透系数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8mv&gt;0.987；15mv&gt;0.988-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CT值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-823Hu--818Hu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操作</w:t>
            </w:r>
          </w:p>
        </w:tc>
        <w:tc>
          <w:tcPr>
            <w:tcW w:w="4428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操作简便，只需挤压即可成型，无安全隐患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tbl>
      <w:tblPr>
        <w:tblStyle w:val="3"/>
        <w:tblpPr w:leftFromText="180" w:rightFromText="180" w:vertAnchor="text" w:horzAnchor="page" w:tblpX="2068" w:tblpY="488"/>
        <w:tblOverlap w:val="never"/>
        <w:tblW w:w="8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877"/>
        <w:gridCol w:w="873"/>
        <w:gridCol w:w="5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头颈肩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固定架</w:t>
            </w: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1.1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可用于头颈肩部位的固定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1.2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尺寸：长≥</w:t>
            </w:r>
            <w:r>
              <w:rPr>
                <w:rFonts w:ascii="宋体" w:hAnsi="宋体" w:cs="宋体"/>
                <w:kern w:val="0"/>
                <w:szCs w:val="21"/>
              </w:rPr>
              <w:t>125cm</w:t>
            </w:r>
            <w:r>
              <w:rPr>
                <w:rFonts w:hint="eastAsia" w:ascii="宋体" w:hAnsi="宋体" w:cs="宋体"/>
                <w:kern w:val="0"/>
                <w:szCs w:val="21"/>
              </w:rPr>
              <w:t>、肩部宽≤</w:t>
            </w:r>
            <w:r>
              <w:rPr>
                <w:rFonts w:ascii="宋体" w:hAnsi="宋体" w:cs="宋体"/>
                <w:kern w:val="0"/>
                <w:szCs w:val="21"/>
              </w:rPr>
              <w:t>58cm</w:t>
            </w:r>
            <w:r>
              <w:rPr>
                <w:rFonts w:hint="eastAsia" w:ascii="宋体" w:hAnsi="宋体" w:cs="宋体"/>
                <w:kern w:val="0"/>
                <w:szCs w:val="21"/>
              </w:rPr>
              <w:t>、体部宽≥</w:t>
            </w:r>
            <w:r>
              <w:rPr>
                <w:rFonts w:ascii="宋体" w:hAnsi="宋体" w:cs="宋体"/>
                <w:kern w:val="0"/>
                <w:szCs w:val="21"/>
              </w:rPr>
              <w:t xml:space="preserve">50cm </w:t>
            </w:r>
            <w:r>
              <w:rPr>
                <w:rFonts w:hint="eastAsia" w:ascii="宋体" w:hAnsi="宋体" w:cs="宋体"/>
                <w:kern w:val="0"/>
                <w:szCs w:val="21"/>
              </w:rPr>
              <w:t>、厚≥</w:t>
            </w:r>
            <w:r>
              <w:rPr>
                <w:rFonts w:ascii="宋体" w:hAnsi="宋体" w:cs="宋体"/>
                <w:kern w:val="0"/>
                <w:szCs w:val="21"/>
              </w:rPr>
              <w:t>12cm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1.3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可用定位杆将固定架连接到床板上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1.4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膜片通过卡槽固定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1.5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穿透系数（</w:t>
            </w:r>
            <w:r>
              <w:rPr>
                <w:rFonts w:ascii="宋体" w:hAnsi="宋体" w:cs="宋体"/>
                <w:szCs w:val="21"/>
              </w:rPr>
              <w:t xml:space="preserve">8mv&gt;0.987;15mv&gt;0.988)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1.6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可在底板上加头颈肩真空袋固定，改善固定精度。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1.7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有内外卡槽，适配成人与儿童固定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1.8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头部可选用卡条式和</w:t>
            </w:r>
            <w:r>
              <w:rPr>
                <w:rFonts w:ascii="宋体" w:hAnsi="宋体" w:cs="宋体"/>
                <w:kern w:val="0"/>
                <w:szCs w:val="21"/>
              </w:rPr>
              <w:t>U</w:t>
            </w:r>
            <w:r>
              <w:rPr>
                <w:rFonts w:hint="eastAsia" w:ascii="宋体" w:hAnsi="宋体" w:cs="宋体"/>
                <w:kern w:val="0"/>
                <w:szCs w:val="21"/>
              </w:rPr>
              <w:t>型面膜两种膜片固定方式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1.9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达到国际标准，通过</w:t>
            </w:r>
            <w:r>
              <w:rPr>
                <w:rFonts w:ascii="宋体" w:hAnsi="宋体" w:cs="宋体"/>
                <w:kern w:val="0"/>
                <w:szCs w:val="21"/>
              </w:rPr>
              <w:t>FDA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CE</w:t>
            </w:r>
            <w:r>
              <w:rPr>
                <w:rFonts w:hint="eastAsia" w:ascii="宋体" w:hAnsi="宋体" w:cs="宋体"/>
                <w:kern w:val="0"/>
                <w:szCs w:val="21"/>
              </w:rPr>
              <w:t>国际认证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restart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877" w:type="dxa"/>
            <w:vMerge w:val="restart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盆腔腹部固定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架</w:t>
            </w: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2.1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尺寸长</w:t>
            </w:r>
            <w:r>
              <w:rPr>
                <w:rFonts w:ascii="宋体" w:hAnsi="宋体" w:cs="宋体"/>
                <w:szCs w:val="21"/>
              </w:rPr>
              <w:t>150cmX</w:t>
            </w:r>
            <w:r>
              <w:rPr>
                <w:rFonts w:hint="eastAsia" w:ascii="宋体" w:hAnsi="宋体" w:cs="宋体"/>
                <w:szCs w:val="21"/>
              </w:rPr>
              <w:t>宽</w:t>
            </w:r>
            <w:r>
              <w:rPr>
                <w:rFonts w:ascii="宋体" w:hAnsi="宋体" w:cs="宋体"/>
                <w:szCs w:val="21"/>
              </w:rPr>
              <w:t>52cmX</w:t>
            </w:r>
            <w:r>
              <w:rPr>
                <w:rFonts w:hint="eastAsia" w:ascii="宋体" w:hAnsi="宋体" w:cs="宋体"/>
                <w:szCs w:val="21"/>
              </w:rPr>
              <w:t>高</w:t>
            </w:r>
            <w:r>
              <w:rPr>
                <w:rFonts w:ascii="宋体" w:hAnsi="宋体" w:cs="宋体"/>
                <w:szCs w:val="21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2.2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底板为碳纤维材质，软垫为高弹性海绵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2.3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膜片有≥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档的可调档位，档位间距</w:t>
            </w:r>
            <w:r>
              <w:rPr>
                <w:rFonts w:ascii="宋体" w:hAnsi="宋体" w:cs="宋体"/>
                <w:szCs w:val="21"/>
              </w:rPr>
              <w:t>5cm</w:t>
            </w:r>
            <w:r>
              <w:rPr>
                <w:rFonts w:hint="eastAsia" w:ascii="宋体" w:hAnsi="宋体" w:cs="宋体"/>
                <w:szCs w:val="21"/>
              </w:rPr>
              <w:t>，胯部有分腿固定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2.4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可调档位≥</w:t>
            </w: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2.5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头部固定位置可根据患者身高调节，调节距离≥</w:t>
            </w:r>
            <w:r>
              <w:rPr>
                <w:rFonts w:ascii="宋体" w:hAnsi="宋体" w:cs="宋体"/>
                <w:szCs w:val="21"/>
              </w:rPr>
              <w:t>15CM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2.6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有≥</w:t>
            </w: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种不同大小的腹托供选择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2.7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腹托与底板之间镂空，不阻挡射线，镂空尺寸≥</w:t>
            </w:r>
            <w:r>
              <w:rPr>
                <w:rFonts w:ascii="宋体" w:hAnsi="宋体" w:cs="宋体"/>
                <w:szCs w:val="21"/>
              </w:rPr>
              <w:t>37X26cm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2.8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配置了小腿防滑垫，可减缓下滑坡度，防止治疗中患者产生移位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2.9</w:t>
            </w:r>
          </w:p>
        </w:tc>
        <w:tc>
          <w:tcPr>
            <w:tcW w:w="5972" w:type="dxa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可通过相应的适配条将底座锁定在床板上，实现</w:t>
            </w:r>
            <w:r>
              <w:rPr>
                <w:rFonts w:ascii="宋体" w:hAnsi="宋体" w:cs="宋体"/>
                <w:szCs w:val="21"/>
              </w:rPr>
              <w:t>CT/</w:t>
            </w:r>
            <w:r>
              <w:rPr>
                <w:rFonts w:hint="eastAsia" w:ascii="宋体" w:hAnsi="宋体" w:cs="宋体"/>
                <w:szCs w:val="21"/>
              </w:rPr>
              <w:t>模拟机</w:t>
            </w:r>
            <w:r>
              <w:rPr>
                <w:rFonts w:ascii="宋体" w:hAnsi="宋体" w:cs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加速器坐标转移，达到准确快速的定位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66" w:type="dxa"/>
            <w:vMerge w:val="continue"/>
          </w:tcPr>
          <w:p>
            <w:pPr>
              <w:spacing w:line="300" w:lineRule="exact"/>
              <w:rPr>
                <w:rFonts w:ascii="宋体" w:cs="宋体"/>
                <w:szCs w:val="21"/>
              </w:rPr>
            </w:pPr>
          </w:p>
        </w:tc>
        <w:tc>
          <w:tcPr>
            <w:tcW w:w="877" w:type="dxa"/>
            <w:vMerge w:val="continue"/>
          </w:tcPr>
          <w:p>
            <w:pPr>
              <w:spacing w:beforeLines="20" w:afterLines="20" w:line="360" w:lineRule="auto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873" w:type="dxa"/>
          </w:tcPr>
          <w:p>
            <w:pPr>
              <w:spacing w:beforeLines="20" w:afterLines="20" w:line="360" w:lineRule="auto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2.10</w:t>
            </w:r>
          </w:p>
        </w:tc>
        <w:tc>
          <w:tcPr>
            <w:tcW w:w="5972" w:type="dxa"/>
            <w:vAlign w:val="center"/>
          </w:tcPr>
          <w:p>
            <w:pPr>
              <w:widowControl/>
              <w:spacing w:line="276" w:lineRule="auto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达到国际标准，通过</w:t>
            </w:r>
            <w:r>
              <w:rPr>
                <w:rFonts w:ascii="宋体" w:hAnsi="宋体" w:cs="宋体"/>
                <w:kern w:val="0"/>
                <w:szCs w:val="21"/>
              </w:rPr>
              <w:t>FDA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CE</w:t>
            </w:r>
            <w:r>
              <w:rPr>
                <w:rFonts w:hint="eastAsia" w:ascii="宋体" w:hAnsi="宋体" w:cs="宋体"/>
                <w:kern w:val="0"/>
                <w:szCs w:val="21"/>
              </w:rPr>
              <w:t>国际认证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1422F"/>
    <w:rsid w:val="6FB142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2017-04-10T01:44:00Z</dcterms:created>
  <dc:creator>Administrator</dc:creator>
  <cp:lastModifiedBy>Administrator</cp:lastModifiedBy>
  <dcterms:modified xsi:type="dcterms:W3CDTF">2017-04-10T01:46:19Z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