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16A" w:rsidRDefault="00675A10">
      <w:pPr>
        <w:widowControl/>
        <w:jc w:val="center"/>
        <w:rPr>
          <w:rFonts w:ascii="宋体" w:hAnsi="宋体"/>
          <w:b/>
          <w:kern w:val="0"/>
          <w:sz w:val="32"/>
        </w:rPr>
      </w:pPr>
      <w:r>
        <w:rPr>
          <w:rFonts w:ascii="宋体" w:hAnsi="宋体" w:hint="eastAsia"/>
          <w:b/>
          <w:kern w:val="0"/>
          <w:sz w:val="32"/>
        </w:rPr>
        <w:t>赣州市人民医院茶叶采购项目竞谈文件</w:t>
      </w:r>
    </w:p>
    <w:p w:rsidR="009B616A" w:rsidRDefault="00675A10">
      <w:pPr>
        <w:widowControl/>
        <w:spacing w:line="440" w:lineRule="exact"/>
        <w:ind w:firstLineChars="200" w:firstLine="643"/>
        <w:rPr>
          <w:rFonts w:ascii="仿宋_GB2312" w:eastAsia="仿宋_GB2312" w:hAnsi="仿宋_GB2312"/>
          <w:b/>
          <w:kern w:val="0"/>
          <w:sz w:val="28"/>
          <w:szCs w:val="28"/>
        </w:rPr>
      </w:pPr>
      <w:r>
        <w:rPr>
          <w:rFonts w:ascii="宋体" w:eastAsia="仿宋_GB2312" w:hAnsi="宋体" w:hint="eastAsia"/>
          <w:b/>
          <w:kern w:val="0"/>
          <w:sz w:val="32"/>
        </w:rPr>
        <w:t>一、</w:t>
      </w:r>
      <w:r>
        <w:rPr>
          <w:rFonts w:ascii="仿宋_GB2312" w:eastAsia="仿宋_GB2312" w:hAnsi="仿宋_GB2312" w:hint="eastAsia"/>
          <w:b/>
          <w:kern w:val="0"/>
          <w:sz w:val="28"/>
          <w:szCs w:val="28"/>
        </w:rPr>
        <w:t>基本原则</w:t>
      </w:r>
    </w:p>
    <w:p w:rsidR="009B616A" w:rsidRDefault="00675A10">
      <w:pPr>
        <w:tabs>
          <w:tab w:val="left" w:pos="900"/>
        </w:tabs>
        <w:spacing w:line="44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坚持公开、公正和诚信的原则，禁止各种非法促销行为和不正当竞争，如有虚假应标者，本院有权没收其履约保证金，并取消该公司在我院的永久投标权。</w:t>
      </w:r>
    </w:p>
    <w:p w:rsidR="009B616A" w:rsidRDefault="00675A10">
      <w:pPr>
        <w:tabs>
          <w:tab w:val="left" w:pos="900"/>
        </w:tabs>
        <w:spacing w:line="440" w:lineRule="exact"/>
        <w:ind w:firstLineChars="200" w:firstLine="562"/>
        <w:rPr>
          <w:rFonts w:ascii="仿宋_GB2312" w:eastAsia="仿宋_GB2312" w:hAnsi="仿宋_GB2312"/>
          <w:sz w:val="28"/>
          <w:szCs w:val="28"/>
        </w:rPr>
      </w:pPr>
      <w:r>
        <w:rPr>
          <w:rFonts w:ascii="仿宋_GB2312" w:eastAsia="仿宋_GB2312" w:hAnsi="仿宋_GB2312" w:hint="eastAsia"/>
          <w:b/>
          <w:kern w:val="0"/>
          <w:sz w:val="28"/>
          <w:szCs w:val="28"/>
        </w:rPr>
        <w:t>二、投标单位的资质要求</w:t>
      </w:r>
    </w:p>
    <w:p w:rsidR="009B616A" w:rsidRDefault="00675A10">
      <w:pPr>
        <w:tabs>
          <w:tab w:val="left" w:pos="900"/>
        </w:tabs>
        <w:spacing w:line="44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1、具有中华人民共和国工商行政管理机关颁发的有效企业营业执照和税务登记证。</w:t>
      </w:r>
    </w:p>
    <w:p w:rsidR="009B616A" w:rsidRDefault="00675A10">
      <w:pPr>
        <w:tabs>
          <w:tab w:val="left" w:pos="900"/>
        </w:tabs>
        <w:spacing w:line="44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2、</w:t>
      </w:r>
      <w:r>
        <w:rPr>
          <w:rFonts w:ascii="仿宋_GB2312" w:eastAsia="仿宋_GB2312" w:hAnsi="仿宋_GB2312" w:cs="仿宋_GB2312" w:hint="eastAsia"/>
          <w:kern w:val="0"/>
          <w:sz w:val="28"/>
          <w:szCs w:val="28"/>
        </w:rPr>
        <w:t>具有独立承担民事责任能力的法人或其他组织</w:t>
      </w:r>
      <w:r>
        <w:rPr>
          <w:rFonts w:ascii="仿宋_GB2312" w:eastAsia="仿宋_GB2312" w:hAnsi="仿宋_GB2312" w:hint="eastAsia"/>
          <w:sz w:val="28"/>
          <w:szCs w:val="28"/>
        </w:rPr>
        <w:t>。</w:t>
      </w:r>
    </w:p>
    <w:p w:rsidR="009B616A" w:rsidRDefault="00675A10">
      <w:pPr>
        <w:tabs>
          <w:tab w:val="left" w:pos="900"/>
        </w:tabs>
        <w:spacing w:line="440" w:lineRule="exact"/>
        <w:ind w:firstLineChars="200" w:firstLine="562"/>
        <w:rPr>
          <w:rFonts w:ascii="仿宋_GB2312" w:eastAsia="仿宋_GB2312" w:hAnsi="仿宋_GB2312"/>
          <w:b/>
          <w:kern w:val="0"/>
          <w:sz w:val="28"/>
          <w:szCs w:val="28"/>
        </w:rPr>
      </w:pPr>
      <w:r>
        <w:rPr>
          <w:rFonts w:ascii="仿宋_GB2312" w:eastAsia="仿宋_GB2312" w:hAnsi="仿宋_GB2312" w:hint="eastAsia"/>
          <w:b/>
          <w:kern w:val="0"/>
          <w:sz w:val="28"/>
          <w:szCs w:val="28"/>
        </w:rPr>
        <w:t>三、资质审核</w:t>
      </w:r>
    </w:p>
    <w:p w:rsidR="009B616A" w:rsidRDefault="00675A10">
      <w:pPr>
        <w:tabs>
          <w:tab w:val="left" w:pos="900"/>
        </w:tabs>
        <w:spacing w:line="440" w:lineRule="exact"/>
        <w:ind w:firstLineChars="150" w:firstLine="420"/>
        <w:rPr>
          <w:rFonts w:ascii="仿宋_GB2312" w:eastAsia="仿宋_GB2312" w:hAnsi="仿宋_GB2312"/>
          <w:sz w:val="28"/>
          <w:szCs w:val="28"/>
        </w:rPr>
      </w:pPr>
      <w:r>
        <w:rPr>
          <w:rFonts w:ascii="仿宋_GB2312" w:eastAsia="仿宋_GB2312" w:hAnsi="仿宋_GB2312" w:hint="eastAsia"/>
          <w:sz w:val="28"/>
          <w:szCs w:val="28"/>
        </w:rPr>
        <w:t>开标时请投标代表携带好身份证原件，评委现场对投标文件资质材料及身份证原件进行审核。</w:t>
      </w:r>
    </w:p>
    <w:p w:rsidR="009B616A" w:rsidRDefault="00675A10">
      <w:pPr>
        <w:tabs>
          <w:tab w:val="left" w:pos="900"/>
        </w:tabs>
        <w:spacing w:line="440" w:lineRule="exact"/>
        <w:ind w:firstLineChars="200" w:firstLine="562"/>
        <w:rPr>
          <w:rFonts w:ascii="仿宋_GB2312" w:eastAsia="仿宋_GB2312" w:hAnsi="仿宋_GB2312"/>
          <w:b/>
          <w:kern w:val="0"/>
          <w:sz w:val="28"/>
          <w:szCs w:val="28"/>
        </w:rPr>
      </w:pPr>
      <w:r>
        <w:rPr>
          <w:rFonts w:ascii="仿宋_GB2312" w:eastAsia="仿宋_GB2312" w:hAnsi="仿宋_GB2312" w:hint="eastAsia"/>
          <w:b/>
          <w:kern w:val="0"/>
          <w:sz w:val="28"/>
          <w:szCs w:val="28"/>
        </w:rPr>
        <w:t>四、招标内容及要求</w:t>
      </w:r>
    </w:p>
    <w:tbl>
      <w:tblPr>
        <w:tblStyle w:val="a3"/>
        <w:tblpPr w:leftFromText="180" w:rightFromText="180" w:vertAnchor="text" w:horzAnchor="page" w:tblpX="1642" w:tblpY="441"/>
        <w:tblOverlap w:val="never"/>
        <w:tblW w:w="9070" w:type="dxa"/>
        <w:tblLayout w:type="fixed"/>
        <w:tblLook w:val="04A0"/>
      </w:tblPr>
      <w:tblGrid>
        <w:gridCol w:w="794"/>
        <w:gridCol w:w="927"/>
        <w:gridCol w:w="2789"/>
        <w:gridCol w:w="1530"/>
        <w:gridCol w:w="1620"/>
        <w:gridCol w:w="1410"/>
      </w:tblGrid>
      <w:tr w:rsidR="009B616A">
        <w:tc>
          <w:tcPr>
            <w:tcW w:w="794" w:type="dxa"/>
          </w:tcPr>
          <w:p w:rsidR="009B616A" w:rsidRDefault="00675A10">
            <w:pPr>
              <w:tabs>
                <w:tab w:val="left" w:pos="900"/>
              </w:tabs>
              <w:spacing w:line="360" w:lineRule="auto"/>
              <w:jc w:val="center"/>
              <w:rPr>
                <w:rFonts w:ascii="仿宋_GB2312" w:eastAsia="仿宋_GB2312" w:hAnsi="仿宋_GB2312"/>
                <w:b/>
                <w:bCs/>
                <w:sz w:val="28"/>
                <w:szCs w:val="28"/>
              </w:rPr>
            </w:pPr>
            <w:r>
              <w:rPr>
                <w:rFonts w:ascii="仿宋_GB2312" w:eastAsia="仿宋_GB2312" w:hAnsi="仿宋_GB2312" w:hint="eastAsia"/>
                <w:b/>
                <w:bCs/>
                <w:sz w:val="28"/>
                <w:szCs w:val="28"/>
              </w:rPr>
              <w:t>类别</w:t>
            </w:r>
          </w:p>
        </w:tc>
        <w:tc>
          <w:tcPr>
            <w:tcW w:w="927" w:type="dxa"/>
          </w:tcPr>
          <w:p w:rsidR="009B616A" w:rsidRDefault="00675A10">
            <w:pPr>
              <w:tabs>
                <w:tab w:val="left" w:pos="900"/>
              </w:tabs>
              <w:spacing w:line="360" w:lineRule="auto"/>
              <w:jc w:val="center"/>
              <w:rPr>
                <w:rFonts w:ascii="仿宋_GB2312" w:eastAsia="仿宋_GB2312" w:hAnsi="仿宋_GB2312"/>
                <w:b/>
                <w:bCs/>
                <w:sz w:val="28"/>
                <w:szCs w:val="28"/>
              </w:rPr>
            </w:pPr>
            <w:r>
              <w:rPr>
                <w:rFonts w:ascii="仿宋_GB2312" w:eastAsia="仿宋_GB2312" w:hAnsi="仿宋_GB2312" w:hint="eastAsia"/>
                <w:b/>
                <w:bCs/>
                <w:sz w:val="28"/>
                <w:szCs w:val="28"/>
              </w:rPr>
              <w:t>品名</w:t>
            </w:r>
          </w:p>
        </w:tc>
        <w:tc>
          <w:tcPr>
            <w:tcW w:w="2789" w:type="dxa"/>
          </w:tcPr>
          <w:p w:rsidR="009B616A" w:rsidRDefault="00675A10">
            <w:pPr>
              <w:tabs>
                <w:tab w:val="left" w:pos="900"/>
              </w:tabs>
              <w:spacing w:line="360" w:lineRule="auto"/>
              <w:jc w:val="center"/>
              <w:rPr>
                <w:rFonts w:ascii="仿宋_GB2312" w:eastAsia="仿宋_GB2312" w:hAnsi="仿宋_GB2312"/>
                <w:b/>
                <w:bCs/>
                <w:sz w:val="28"/>
                <w:szCs w:val="28"/>
              </w:rPr>
            </w:pPr>
            <w:r>
              <w:rPr>
                <w:rFonts w:ascii="仿宋_GB2312" w:eastAsia="仿宋_GB2312" w:hAnsi="仿宋_GB2312" w:hint="eastAsia"/>
                <w:b/>
                <w:bCs/>
                <w:sz w:val="28"/>
                <w:szCs w:val="28"/>
              </w:rPr>
              <w:t>参数</w:t>
            </w:r>
          </w:p>
        </w:tc>
        <w:tc>
          <w:tcPr>
            <w:tcW w:w="1530" w:type="dxa"/>
          </w:tcPr>
          <w:p w:rsidR="009B616A" w:rsidRDefault="00675A10">
            <w:pPr>
              <w:tabs>
                <w:tab w:val="left" w:pos="900"/>
              </w:tabs>
              <w:spacing w:line="360" w:lineRule="auto"/>
              <w:jc w:val="center"/>
              <w:rPr>
                <w:rFonts w:ascii="仿宋_GB2312" w:eastAsia="仿宋_GB2312" w:hAnsi="仿宋_GB2312"/>
                <w:b/>
                <w:bCs/>
                <w:sz w:val="28"/>
                <w:szCs w:val="28"/>
              </w:rPr>
            </w:pPr>
            <w:r>
              <w:rPr>
                <w:rFonts w:ascii="仿宋_GB2312" w:eastAsia="仿宋_GB2312" w:hAnsi="仿宋_GB2312" w:hint="eastAsia"/>
                <w:b/>
                <w:bCs/>
                <w:sz w:val="28"/>
                <w:szCs w:val="28"/>
              </w:rPr>
              <w:t>数量</w:t>
            </w:r>
          </w:p>
        </w:tc>
        <w:tc>
          <w:tcPr>
            <w:tcW w:w="1620" w:type="dxa"/>
          </w:tcPr>
          <w:p w:rsidR="009B616A" w:rsidRDefault="00675A10">
            <w:pPr>
              <w:tabs>
                <w:tab w:val="left" w:pos="900"/>
              </w:tabs>
              <w:spacing w:line="360" w:lineRule="auto"/>
              <w:jc w:val="center"/>
              <w:rPr>
                <w:rFonts w:ascii="仿宋_GB2312" w:eastAsia="仿宋_GB2312" w:hAnsi="仿宋_GB2312"/>
                <w:b/>
                <w:bCs/>
                <w:sz w:val="28"/>
                <w:szCs w:val="28"/>
              </w:rPr>
            </w:pPr>
            <w:r>
              <w:rPr>
                <w:rFonts w:ascii="仿宋_GB2312" w:eastAsia="仿宋_GB2312" w:hAnsi="仿宋_GB2312" w:hint="eastAsia"/>
                <w:b/>
                <w:bCs/>
                <w:sz w:val="28"/>
                <w:szCs w:val="28"/>
              </w:rPr>
              <w:t>预算单价（元/斤）</w:t>
            </w:r>
          </w:p>
        </w:tc>
        <w:tc>
          <w:tcPr>
            <w:tcW w:w="1410" w:type="dxa"/>
          </w:tcPr>
          <w:p w:rsidR="009B616A" w:rsidRDefault="00675A10">
            <w:pPr>
              <w:tabs>
                <w:tab w:val="left" w:pos="900"/>
              </w:tabs>
              <w:spacing w:line="360" w:lineRule="auto"/>
              <w:jc w:val="center"/>
              <w:rPr>
                <w:rFonts w:ascii="仿宋_GB2312" w:eastAsia="仿宋_GB2312" w:hAnsi="仿宋_GB2312"/>
                <w:b/>
                <w:bCs/>
                <w:sz w:val="28"/>
                <w:szCs w:val="28"/>
              </w:rPr>
            </w:pPr>
            <w:r>
              <w:rPr>
                <w:rFonts w:ascii="仿宋_GB2312" w:eastAsia="仿宋_GB2312" w:hAnsi="仿宋_GB2312" w:hint="eastAsia"/>
                <w:b/>
                <w:bCs/>
                <w:sz w:val="28"/>
                <w:szCs w:val="28"/>
              </w:rPr>
              <w:t>预算总价（元）</w:t>
            </w:r>
          </w:p>
        </w:tc>
      </w:tr>
      <w:tr w:rsidR="009B616A">
        <w:tc>
          <w:tcPr>
            <w:tcW w:w="794" w:type="dxa"/>
          </w:tcPr>
          <w:p w:rsidR="009B616A" w:rsidRDefault="00675A10">
            <w:pPr>
              <w:tabs>
                <w:tab w:val="left" w:pos="900"/>
              </w:tabs>
              <w:spacing w:line="360" w:lineRule="auto"/>
              <w:rPr>
                <w:rFonts w:ascii="宋体" w:hAnsi="宋体" w:cs="宋体"/>
                <w:sz w:val="28"/>
                <w:szCs w:val="28"/>
              </w:rPr>
            </w:pPr>
            <w:r>
              <w:rPr>
                <w:rFonts w:ascii="宋体" w:hAnsi="宋体" w:cs="宋体" w:hint="eastAsia"/>
                <w:sz w:val="28"/>
                <w:szCs w:val="28"/>
              </w:rPr>
              <w:t>绿茶A</w:t>
            </w:r>
          </w:p>
        </w:tc>
        <w:tc>
          <w:tcPr>
            <w:tcW w:w="927" w:type="dxa"/>
          </w:tcPr>
          <w:p w:rsidR="009B616A" w:rsidRDefault="00CB1BFA">
            <w:pPr>
              <w:rPr>
                <w:rFonts w:ascii="宋体" w:hAnsi="宋体" w:cs="宋体"/>
                <w:sz w:val="28"/>
                <w:szCs w:val="28"/>
              </w:rPr>
            </w:pPr>
            <w:r>
              <w:rPr>
                <w:rFonts w:ascii="宋体" w:hAnsi="宋体" w:cs="宋体" w:hint="eastAsia"/>
                <w:sz w:val="28"/>
                <w:szCs w:val="28"/>
              </w:rPr>
              <w:t>毛峰</w:t>
            </w:r>
          </w:p>
          <w:p w:rsidR="009B616A" w:rsidRDefault="009B616A">
            <w:pPr>
              <w:rPr>
                <w:rFonts w:ascii="宋体" w:hAnsi="宋体" w:cs="宋体"/>
                <w:sz w:val="28"/>
                <w:szCs w:val="28"/>
              </w:rPr>
            </w:pPr>
          </w:p>
        </w:tc>
        <w:tc>
          <w:tcPr>
            <w:tcW w:w="2789" w:type="dxa"/>
          </w:tcPr>
          <w:p w:rsidR="009B616A" w:rsidRDefault="00675A10">
            <w:pPr>
              <w:rPr>
                <w:rFonts w:ascii="宋体" w:hAnsi="宋体" w:cs="宋体"/>
                <w:sz w:val="28"/>
                <w:szCs w:val="28"/>
              </w:rPr>
            </w:pPr>
            <w:r>
              <w:rPr>
                <w:rFonts w:ascii="宋体" w:hAnsi="宋体" w:cs="宋体" w:hint="eastAsia"/>
                <w:sz w:val="28"/>
                <w:szCs w:val="28"/>
              </w:rPr>
              <w:t>清明节前绿茶,特级</w:t>
            </w:r>
          </w:p>
          <w:p w:rsidR="009B616A" w:rsidRDefault="00675A10">
            <w:pPr>
              <w:rPr>
                <w:rFonts w:ascii="宋体" w:hAnsi="宋体" w:cs="宋体"/>
                <w:sz w:val="28"/>
                <w:szCs w:val="28"/>
              </w:rPr>
            </w:pPr>
            <w:r>
              <w:rPr>
                <w:rFonts w:ascii="宋体" w:hAnsi="宋体" w:cs="宋体" w:hint="eastAsia"/>
                <w:sz w:val="28"/>
                <w:szCs w:val="28"/>
              </w:rPr>
              <w:t>口感:清鲜回甘</w:t>
            </w:r>
          </w:p>
          <w:p w:rsidR="009B616A" w:rsidRDefault="00675A10">
            <w:pPr>
              <w:rPr>
                <w:rFonts w:ascii="宋体" w:hAnsi="宋体" w:cs="宋体"/>
                <w:sz w:val="28"/>
                <w:szCs w:val="28"/>
              </w:rPr>
            </w:pPr>
            <w:r>
              <w:rPr>
                <w:rFonts w:ascii="宋体" w:hAnsi="宋体" w:cs="宋体" w:hint="eastAsia"/>
                <w:sz w:val="28"/>
                <w:szCs w:val="28"/>
              </w:rPr>
              <w:t>形状:片状</w:t>
            </w:r>
          </w:p>
        </w:tc>
        <w:tc>
          <w:tcPr>
            <w:tcW w:w="1530" w:type="dxa"/>
            <w:vMerge w:val="restart"/>
          </w:tcPr>
          <w:p w:rsidR="009B616A" w:rsidRDefault="00675A10">
            <w:pPr>
              <w:tabs>
                <w:tab w:val="left" w:pos="900"/>
              </w:tabs>
              <w:spacing w:line="360" w:lineRule="auto"/>
              <w:rPr>
                <w:rFonts w:ascii="宋体" w:hAnsi="宋体" w:cs="宋体"/>
                <w:sz w:val="28"/>
                <w:szCs w:val="28"/>
              </w:rPr>
            </w:pPr>
            <w:r>
              <w:rPr>
                <w:rFonts w:ascii="宋体" w:hAnsi="宋体" w:cs="宋体" w:hint="eastAsia"/>
                <w:sz w:val="28"/>
                <w:szCs w:val="28"/>
              </w:rPr>
              <w:t>150斤</w:t>
            </w:r>
          </w:p>
        </w:tc>
        <w:tc>
          <w:tcPr>
            <w:tcW w:w="1620" w:type="dxa"/>
            <w:vMerge w:val="restart"/>
          </w:tcPr>
          <w:p w:rsidR="009B616A" w:rsidRDefault="00675A10">
            <w:pPr>
              <w:tabs>
                <w:tab w:val="left" w:pos="900"/>
              </w:tabs>
              <w:spacing w:line="360" w:lineRule="auto"/>
              <w:rPr>
                <w:rFonts w:ascii="宋体" w:hAnsi="宋体" w:cs="宋体"/>
                <w:sz w:val="28"/>
                <w:szCs w:val="28"/>
              </w:rPr>
            </w:pPr>
            <w:r>
              <w:rPr>
                <w:rFonts w:ascii="宋体" w:hAnsi="宋体" w:cs="宋体" w:hint="eastAsia"/>
                <w:sz w:val="28"/>
                <w:szCs w:val="28"/>
              </w:rPr>
              <w:t>300</w:t>
            </w:r>
          </w:p>
          <w:p w:rsidR="009B616A" w:rsidRDefault="009B616A">
            <w:pPr>
              <w:tabs>
                <w:tab w:val="left" w:pos="900"/>
              </w:tabs>
              <w:spacing w:line="360" w:lineRule="auto"/>
              <w:rPr>
                <w:rFonts w:ascii="宋体" w:hAnsi="宋体" w:cs="宋体"/>
                <w:sz w:val="28"/>
                <w:szCs w:val="28"/>
              </w:rPr>
            </w:pPr>
          </w:p>
          <w:p w:rsidR="009B616A" w:rsidRDefault="009B616A">
            <w:pPr>
              <w:tabs>
                <w:tab w:val="left" w:pos="900"/>
              </w:tabs>
              <w:spacing w:line="360" w:lineRule="auto"/>
              <w:rPr>
                <w:rFonts w:ascii="宋体" w:hAnsi="宋体" w:cs="宋体"/>
                <w:sz w:val="28"/>
                <w:szCs w:val="28"/>
              </w:rPr>
            </w:pPr>
          </w:p>
        </w:tc>
        <w:tc>
          <w:tcPr>
            <w:tcW w:w="1410" w:type="dxa"/>
            <w:vMerge w:val="restart"/>
          </w:tcPr>
          <w:p w:rsidR="009B616A" w:rsidRDefault="00675A10">
            <w:pPr>
              <w:tabs>
                <w:tab w:val="left" w:pos="900"/>
              </w:tabs>
              <w:spacing w:line="360" w:lineRule="auto"/>
              <w:rPr>
                <w:rFonts w:ascii="宋体" w:hAnsi="宋体" w:cs="宋体"/>
                <w:sz w:val="28"/>
                <w:szCs w:val="28"/>
              </w:rPr>
            </w:pPr>
            <w:r>
              <w:rPr>
                <w:rFonts w:ascii="宋体" w:hAnsi="宋体" w:cs="宋体" w:hint="eastAsia"/>
                <w:sz w:val="28"/>
                <w:szCs w:val="28"/>
              </w:rPr>
              <w:t>45000</w:t>
            </w:r>
          </w:p>
        </w:tc>
      </w:tr>
      <w:tr w:rsidR="009B616A">
        <w:tc>
          <w:tcPr>
            <w:tcW w:w="794" w:type="dxa"/>
          </w:tcPr>
          <w:p w:rsidR="009B616A" w:rsidRDefault="00675A10">
            <w:pPr>
              <w:tabs>
                <w:tab w:val="left" w:pos="900"/>
              </w:tabs>
              <w:spacing w:line="360" w:lineRule="auto"/>
              <w:rPr>
                <w:rFonts w:ascii="宋体" w:hAnsi="宋体" w:cs="宋体"/>
                <w:sz w:val="28"/>
                <w:szCs w:val="28"/>
              </w:rPr>
            </w:pPr>
            <w:r>
              <w:rPr>
                <w:rFonts w:ascii="宋体" w:hAnsi="宋体" w:cs="宋体" w:hint="eastAsia"/>
                <w:sz w:val="28"/>
                <w:szCs w:val="28"/>
              </w:rPr>
              <w:t>红茶A</w:t>
            </w:r>
          </w:p>
        </w:tc>
        <w:tc>
          <w:tcPr>
            <w:tcW w:w="927" w:type="dxa"/>
          </w:tcPr>
          <w:p w:rsidR="009B616A" w:rsidRDefault="00675A10">
            <w:pPr>
              <w:rPr>
                <w:rFonts w:ascii="宋体" w:hAnsi="宋体" w:cs="宋体"/>
                <w:sz w:val="28"/>
                <w:szCs w:val="28"/>
              </w:rPr>
            </w:pPr>
            <w:r>
              <w:rPr>
                <w:rFonts w:ascii="宋体" w:hAnsi="宋体" w:cs="宋体" w:hint="eastAsia"/>
                <w:sz w:val="28"/>
                <w:szCs w:val="28"/>
              </w:rPr>
              <w:t>正山小种</w:t>
            </w:r>
          </w:p>
        </w:tc>
        <w:tc>
          <w:tcPr>
            <w:tcW w:w="2789" w:type="dxa"/>
          </w:tcPr>
          <w:p w:rsidR="009B616A" w:rsidRDefault="00675A10">
            <w:pPr>
              <w:tabs>
                <w:tab w:val="left" w:pos="900"/>
              </w:tabs>
              <w:spacing w:line="360" w:lineRule="auto"/>
              <w:rPr>
                <w:rFonts w:ascii="宋体" w:hAnsi="宋体" w:cs="宋体"/>
                <w:sz w:val="28"/>
                <w:szCs w:val="28"/>
              </w:rPr>
            </w:pPr>
            <w:r>
              <w:rPr>
                <w:rFonts w:ascii="宋体" w:hAnsi="宋体" w:cs="宋体" w:hint="eastAsia"/>
                <w:sz w:val="28"/>
                <w:szCs w:val="28"/>
              </w:rPr>
              <w:t>特级</w:t>
            </w:r>
          </w:p>
          <w:p w:rsidR="009B616A" w:rsidRDefault="00675A10">
            <w:pPr>
              <w:rPr>
                <w:rFonts w:ascii="宋体" w:hAnsi="宋体" w:cs="宋体"/>
                <w:sz w:val="28"/>
                <w:szCs w:val="28"/>
              </w:rPr>
            </w:pPr>
            <w:r>
              <w:rPr>
                <w:rFonts w:ascii="宋体" w:hAnsi="宋体" w:cs="宋体" w:hint="eastAsia"/>
                <w:sz w:val="28"/>
                <w:szCs w:val="28"/>
              </w:rPr>
              <w:t>口感:香气深沉</w:t>
            </w:r>
          </w:p>
        </w:tc>
        <w:tc>
          <w:tcPr>
            <w:tcW w:w="1530" w:type="dxa"/>
            <w:vMerge/>
          </w:tcPr>
          <w:p w:rsidR="009B616A" w:rsidRDefault="009B616A">
            <w:pPr>
              <w:tabs>
                <w:tab w:val="left" w:pos="900"/>
              </w:tabs>
              <w:spacing w:line="360" w:lineRule="auto"/>
              <w:rPr>
                <w:rFonts w:ascii="宋体" w:hAnsi="宋体" w:cs="宋体"/>
                <w:sz w:val="28"/>
                <w:szCs w:val="28"/>
              </w:rPr>
            </w:pPr>
          </w:p>
        </w:tc>
        <w:tc>
          <w:tcPr>
            <w:tcW w:w="1620" w:type="dxa"/>
            <w:vMerge/>
          </w:tcPr>
          <w:p w:rsidR="009B616A" w:rsidRDefault="009B616A">
            <w:pPr>
              <w:tabs>
                <w:tab w:val="left" w:pos="900"/>
              </w:tabs>
              <w:spacing w:line="360" w:lineRule="auto"/>
              <w:rPr>
                <w:rFonts w:ascii="宋体" w:hAnsi="宋体" w:cs="宋体"/>
                <w:sz w:val="28"/>
                <w:szCs w:val="28"/>
              </w:rPr>
            </w:pPr>
          </w:p>
        </w:tc>
        <w:tc>
          <w:tcPr>
            <w:tcW w:w="1410" w:type="dxa"/>
            <w:vMerge/>
          </w:tcPr>
          <w:p w:rsidR="009B616A" w:rsidRDefault="009B616A">
            <w:pPr>
              <w:tabs>
                <w:tab w:val="left" w:pos="900"/>
              </w:tabs>
              <w:spacing w:line="360" w:lineRule="auto"/>
              <w:rPr>
                <w:rFonts w:ascii="宋体" w:hAnsi="宋体" w:cs="宋体"/>
                <w:sz w:val="28"/>
                <w:szCs w:val="28"/>
              </w:rPr>
            </w:pPr>
          </w:p>
        </w:tc>
      </w:tr>
      <w:tr w:rsidR="009B616A">
        <w:tc>
          <w:tcPr>
            <w:tcW w:w="794" w:type="dxa"/>
          </w:tcPr>
          <w:p w:rsidR="009B616A" w:rsidRDefault="00675A10">
            <w:pPr>
              <w:tabs>
                <w:tab w:val="left" w:pos="900"/>
              </w:tabs>
              <w:spacing w:line="360" w:lineRule="auto"/>
              <w:rPr>
                <w:rFonts w:ascii="宋体" w:hAnsi="宋体" w:cs="宋体"/>
                <w:sz w:val="28"/>
                <w:szCs w:val="28"/>
              </w:rPr>
            </w:pPr>
            <w:r>
              <w:rPr>
                <w:rFonts w:ascii="宋体" w:hAnsi="宋体" w:cs="宋体" w:hint="eastAsia"/>
                <w:sz w:val="28"/>
                <w:szCs w:val="28"/>
              </w:rPr>
              <w:t>绿茶</w:t>
            </w:r>
            <w:r w:rsidR="00CB1BFA">
              <w:rPr>
                <w:rFonts w:ascii="宋体" w:hAnsi="宋体" w:cs="宋体" w:hint="eastAsia"/>
                <w:sz w:val="28"/>
                <w:szCs w:val="28"/>
              </w:rPr>
              <w:t>B</w:t>
            </w:r>
          </w:p>
        </w:tc>
        <w:tc>
          <w:tcPr>
            <w:tcW w:w="927" w:type="dxa"/>
          </w:tcPr>
          <w:p w:rsidR="009B616A" w:rsidRDefault="00675A10">
            <w:pPr>
              <w:rPr>
                <w:rFonts w:ascii="宋体" w:hAnsi="宋体" w:cs="宋体"/>
                <w:sz w:val="28"/>
                <w:szCs w:val="28"/>
              </w:rPr>
            </w:pPr>
            <w:r>
              <w:rPr>
                <w:rFonts w:ascii="宋体" w:hAnsi="宋体" w:cs="宋体" w:hint="eastAsia"/>
                <w:sz w:val="28"/>
                <w:szCs w:val="28"/>
              </w:rPr>
              <w:t>毛尖</w:t>
            </w:r>
          </w:p>
          <w:p w:rsidR="009B616A" w:rsidRDefault="009B616A">
            <w:pPr>
              <w:rPr>
                <w:rFonts w:ascii="宋体" w:hAnsi="宋体" w:cs="宋体"/>
                <w:sz w:val="28"/>
                <w:szCs w:val="28"/>
              </w:rPr>
            </w:pPr>
          </w:p>
        </w:tc>
        <w:tc>
          <w:tcPr>
            <w:tcW w:w="2789" w:type="dxa"/>
          </w:tcPr>
          <w:p w:rsidR="009B616A" w:rsidRDefault="00675A10">
            <w:pPr>
              <w:rPr>
                <w:rFonts w:ascii="宋体" w:hAnsi="宋体" w:cs="宋体"/>
                <w:sz w:val="28"/>
                <w:szCs w:val="28"/>
              </w:rPr>
            </w:pPr>
            <w:r>
              <w:rPr>
                <w:rFonts w:ascii="宋体" w:hAnsi="宋体" w:cs="宋体" w:hint="eastAsia"/>
                <w:sz w:val="28"/>
                <w:szCs w:val="28"/>
              </w:rPr>
              <w:t>烘青绿茶，一级</w:t>
            </w:r>
          </w:p>
          <w:p w:rsidR="009B616A" w:rsidRDefault="00675A10">
            <w:pPr>
              <w:rPr>
                <w:rFonts w:ascii="宋体" w:hAnsi="宋体" w:cs="宋体"/>
                <w:sz w:val="28"/>
                <w:szCs w:val="28"/>
              </w:rPr>
            </w:pPr>
            <w:r>
              <w:rPr>
                <w:rFonts w:ascii="宋体" w:hAnsi="宋体" w:cs="宋体" w:hint="eastAsia"/>
                <w:sz w:val="28"/>
                <w:szCs w:val="28"/>
              </w:rPr>
              <w:t>口感：清爽柔和</w:t>
            </w:r>
          </w:p>
          <w:p w:rsidR="009B616A" w:rsidRDefault="00675A10">
            <w:pPr>
              <w:rPr>
                <w:rFonts w:ascii="宋体" w:hAnsi="宋体" w:cs="宋体"/>
                <w:sz w:val="28"/>
                <w:szCs w:val="28"/>
              </w:rPr>
            </w:pPr>
            <w:r>
              <w:rPr>
                <w:rFonts w:ascii="宋体" w:hAnsi="宋体" w:cs="宋体" w:hint="eastAsia"/>
                <w:sz w:val="28"/>
                <w:szCs w:val="28"/>
              </w:rPr>
              <w:t>形状：针</w:t>
            </w:r>
            <w:bookmarkStart w:id="0" w:name="_GoBack"/>
            <w:bookmarkEnd w:id="0"/>
            <w:r>
              <w:rPr>
                <w:rFonts w:ascii="宋体" w:hAnsi="宋体" w:cs="宋体" w:hint="eastAsia"/>
                <w:sz w:val="28"/>
                <w:szCs w:val="28"/>
              </w:rPr>
              <w:t>状。</w:t>
            </w:r>
          </w:p>
        </w:tc>
        <w:tc>
          <w:tcPr>
            <w:tcW w:w="1530" w:type="dxa"/>
            <w:vMerge w:val="restart"/>
          </w:tcPr>
          <w:p w:rsidR="009B616A" w:rsidRDefault="00675A10">
            <w:pPr>
              <w:tabs>
                <w:tab w:val="left" w:pos="900"/>
              </w:tabs>
              <w:spacing w:line="360" w:lineRule="auto"/>
              <w:rPr>
                <w:rFonts w:ascii="宋体" w:hAnsi="宋体" w:cs="宋体"/>
                <w:sz w:val="28"/>
                <w:szCs w:val="28"/>
              </w:rPr>
            </w:pPr>
            <w:r>
              <w:rPr>
                <w:rFonts w:ascii="宋体" w:hAnsi="宋体" w:cs="宋体" w:hint="eastAsia"/>
                <w:sz w:val="28"/>
                <w:szCs w:val="28"/>
              </w:rPr>
              <w:t>90斤</w:t>
            </w:r>
          </w:p>
        </w:tc>
        <w:tc>
          <w:tcPr>
            <w:tcW w:w="1620" w:type="dxa"/>
            <w:vMerge w:val="restart"/>
          </w:tcPr>
          <w:p w:rsidR="009B616A" w:rsidRDefault="00675A10">
            <w:pPr>
              <w:tabs>
                <w:tab w:val="left" w:pos="900"/>
              </w:tabs>
              <w:spacing w:line="360" w:lineRule="auto"/>
              <w:rPr>
                <w:rFonts w:ascii="宋体" w:hAnsi="宋体" w:cs="宋体"/>
                <w:sz w:val="28"/>
                <w:szCs w:val="28"/>
              </w:rPr>
            </w:pPr>
            <w:r>
              <w:rPr>
                <w:rFonts w:ascii="宋体" w:hAnsi="宋体" w:cs="宋体" w:hint="eastAsia"/>
                <w:sz w:val="28"/>
                <w:szCs w:val="28"/>
              </w:rPr>
              <w:t>200</w:t>
            </w:r>
          </w:p>
        </w:tc>
        <w:tc>
          <w:tcPr>
            <w:tcW w:w="1410" w:type="dxa"/>
            <w:vMerge w:val="restart"/>
          </w:tcPr>
          <w:p w:rsidR="009B616A" w:rsidRDefault="00675A10">
            <w:pPr>
              <w:tabs>
                <w:tab w:val="left" w:pos="900"/>
              </w:tabs>
              <w:spacing w:line="360" w:lineRule="auto"/>
              <w:rPr>
                <w:rFonts w:ascii="宋体" w:hAnsi="宋体" w:cs="宋体"/>
                <w:sz w:val="28"/>
                <w:szCs w:val="28"/>
              </w:rPr>
            </w:pPr>
            <w:r>
              <w:rPr>
                <w:rFonts w:ascii="宋体" w:hAnsi="宋体" w:cs="宋体" w:hint="eastAsia"/>
                <w:sz w:val="28"/>
                <w:szCs w:val="28"/>
              </w:rPr>
              <w:t>18000</w:t>
            </w:r>
          </w:p>
        </w:tc>
      </w:tr>
      <w:tr w:rsidR="009B616A">
        <w:tc>
          <w:tcPr>
            <w:tcW w:w="794" w:type="dxa"/>
          </w:tcPr>
          <w:p w:rsidR="009B616A" w:rsidRDefault="00675A10">
            <w:pPr>
              <w:tabs>
                <w:tab w:val="left" w:pos="900"/>
              </w:tabs>
              <w:spacing w:line="360" w:lineRule="auto"/>
              <w:rPr>
                <w:rFonts w:ascii="宋体" w:hAnsi="宋体" w:cs="宋体"/>
                <w:sz w:val="28"/>
                <w:szCs w:val="28"/>
              </w:rPr>
            </w:pPr>
            <w:r>
              <w:rPr>
                <w:rFonts w:ascii="宋体" w:hAnsi="宋体" w:cs="宋体" w:hint="eastAsia"/>
                <w:sz w:val="28"/>
                <w:szCs w:val="28"/>
              </w:rPr>
              <w:t>红茶B</w:t>
            </w:r>
          </w:p>
        </w:tc>
        <w:tc>
          <w:tcPr>
            <w:tcW w:w="927" w:type="dxa"/>
          </w:tcPr>
          <w:p w:rsidR="009B616A" w:rsidRDefault="00675A10">
            <w:pPr>
              <w:rPr>
                <w:rFonts w:ascii="宋体" w:hAnsi="宋体" w:cs="宋体"/>
                <w:sz w:val="28"/>
                <w:szCs w:val="28"/>
              </w:rPr>
            </w:pPr>
            <w:r>
              <w:rPr>
                <w:rFonts w:ascii="宋体" w:hAnsi="宋体" w:cs="宋体" w:hint="eastAsia"/>
                <w:sz w:val="28"/>
                <w:szCs w:val="28"/>
              </w:rPr>
              <w:t>正山小种</w:t>
            </w:r>
          </w:p>
          <w:p w:rsidR="009B616A" w:rsidRDefault="009B616A">
            <w:pPr>
              <w:rPr>
                <w:rFonts w:ascii="宋体" w:hAnsi="宋体" w:cs="宋体"/>
                <w:sz w:val="28"/>
                <w:szCs w:val="28"/>
              </w:rPr>
            </w:pPr>
          </w:p>
        </w:tc>
        <w:tc>
          <w:tcPr>
            <w:tcW w:w="2789" w:type="dxa"/>
          </w:tcPr>
          <w:p w:rsidR="009B616A" w:rsidRDefault="00675A10">
            <w:pPr>
              <w:rPr>
                <w:rFonts w:ascii="宋体" w:hAnsi="宋体" w:cs="宋体"/>
                <w:sz w:val="28"/>
                <w:szCs w:val="28"/>
              </w:rPr>
            </w:pPr>
            <w:r>
              <w:rPr>
                <w:rFonts w:ascii="宋体" w:hAnsi="宋体" w:cs="宋体" w:hint="eastAsia"/>
                <w:sz w:val="28"/>
                <w:szCs w:val="28"/>
              </w:rPr>
              <w:lastRenderedPageBreak/>
              <w:t>浓香型,一级</w:t>
            </w:r>
          </w:p>
          <w:p w:rsidR="009B616A" w:rsidRDefault="00675A10">
            <w:pPr>
              <w:rPr>
                <w:rFonts w:ascii="宋体" w:hAnsi="宋体" w:cs="宋体"/>
                <w:sz w:val="28"/>
                <w:szCs w:val="28"/>
              </w:rPr>
            </w:pPr>
            <w:r>
              <w:rPr>
                <w:rFonts w:ascii="宋体" w:hAnsi="宋体" w:cs="宋体" w:hint="eastAsia"/>
                <w:sz w:val="28"/>
                <w:szCs w:val="28"/>
              </w:rPr>
              <w:t>口感:茶汤甘甜清爽,</w:t>
            </w:r>
            <w:r>
              <w:rPr>
                <w:rFonts w:ascii="宋体" w:hAnsi="宋体" w:cs="宋体" w:hint="eastAsia"/>
                <w:sz w:val="28"/>
                <w:szCs w:val="28"/>
              </w:rPr>
              <w:lastRenderedPageBreak/>
              <w:t>入口厚润醇滑</w:t>
            </w:r>
          </w:p>
        </w:tc>
        <w:tc>
          <w:tcPr>
            <w:tcW w:w="1530" w:type="dxa"/>
            <w:vMerge/>
          </w:tcPr>
          <w:p w:rsidR="009B616A" w:rsidRDefault="009B616A">
            <w:pPr>
              <w:tabs>
                <w:tab w:val="left" w:pos="900"/>
              </w:tabs>
              <w:spacing w:line="360" w:lineRule="auto"/>
              <w:rPr>
                <w:rFonts w:ascii="宋体" w:hAnsi="宋体" w:cs="宋体"/>
                <w:sz w:val="28"/>
                <w:szCs w:val="28"/>
              </w:rPr>
            </w:pPr>
          </w:p>
        </w:tc>
        <w:tc>
          <w:tcPr>
            <w:tcW w:w="1620" w:type="dxa"/>
            <w:vMerge/>
          </w:tcPr>
          <w:p w:rsidR="009B616A" w:rsidRDefault="009B616A">
            <w:pPr>
              <w:tabs>
                <w:tab w:val="left" w:pos="900"/>
              </w:tabs>
              <w:spacing w:line="360" w:lineRule="auto"/>
              <w:rPr>
                <w:rFonts w:ascii="宋体" w:hAnsi="宋体" w:cs="宋体"/>
                <w:sz w:val="28"/>
                <w:szCs w:val="28"/>
              </w:rPr>
            </w:pPr>
          </w:p>
        </w:tc>
        <w:tc>
          <w:tcPr>
            <w:tcW w:w="1410" w:type="dxa"/>
            <w:vMerge/>
          </w:tcPr>
          <w:p w:rsidR="009B616A" w:rsidRDefault="009B616A">
            <w:pPr>
              <w:tabs>
                <w:tab w:val="left" w:pos="900"/>
              </w:tabs>
              <w:spacing w:line="360" w:lineRule="auto"/>
              <w:rPr>
                <w:rFonts w:ascii="宋体" w:hAnsi="宋体" w:cs="宋体"/>
                <w:sz w:val="28"/>
                <w:szCs w:val="28"/>
              </w:rPr>
            </w:pPr>
          </w:p>
        </w:tc>
      </w:tr>
    </w:tbl>
    <w:p w:rsidR="009B616A" w:rsidRDefault="00CB1BFA">
      <w:pPr>
        <w:widowControl/>
        <w:spacing w:line="360" w:lineRule="auto"/>
        <w:ind w:firstLineChars="200" w:firstLine="560"/>
        <w:jc w:val="left"/>
        <w:rPr>
          <w:rFonts w:ascii="仿宋_GB2312" w:eastAsia="仿宋_GB2312" w:hAnsi="仿宋_GB2312"/>
          <w:b/>
          <w:kern w:val="0"/>
          <w:sz w:val="28"/>
          <w:szCs w:val="28"/>
        </w:rPr>
      </w:pPr>
      <w:r>
        <w:rPr>
          <w:rFonts w:ascii="宋体" w:hAnsi="宋体" w:cs="宋体" w:hint="eastAsia"/>
          <w:sz w:val="28"/>
          <w:szCs w:val="28"/>
        </w:rPr>
        <w:lastRenderedPageBreak/>
        <w:t>注：本项目投标人须在投标时提供样品各一</w:t>
      </w:r>
      <w:r w:rsidR="00675A10">
        <w:rPr>
          <w:rFonts w:ascii="宋体" w:hAnsi="宋体" w:cs="宋体" w:hint="eastAsia"/>
          <w:sz w:val="28"/>
          <w:szCs w:val="28"/>
        </w:rPr>
        <w:t>份。样品不符参数，将被视为未实质性响应，作无效标处理。</w:t>
      </w:r>
    </w:p>
    <w:p w:rsidR="009B616A" w:rsidRDefault="00675A10">
      <w:pPr>
        <w:widowControl/>
        <w:spacing w:line="360" w:lineRule="auto"/>
        <w:ind w:firstLineChars="200" w:firstLine="562"/>
        <w:jc w:val="left"/>
        <w:rPr>
          <w:rFonts w:ascii="仿宋_GB2312" w:eastAsia="仿宋_GB2312" w:hAnsi="仿宋_GB2312"/>
          <w:b/>
          <w:kern w:val="0"/>
          <w:sz w:val="28"/>
          <w:szCs w:val="28"/>
        </w:rPr>
      </w:pPr>
      <w:r>
        <w:rPr>
          <w:rFonts w:ascii="仿宋_GB2312" w:eastAsia="仿宋_GB2312" w:hAnsi="仿宋_GB2312" w:hint="eastAsia"/>
          <w:b/>
          <w:kern w:val="0"/>
          <w:sz w:val="28"/>
          <w:szCs w:val="28"/>
        </w:rPr>
        <w:t>五、供货期限、付款方式</w:t>
      </w:r>
    </w:p>
    <w:p w:rsidR="009B616A" w:rsidRDefault="00675A10">
      <w:pPr>
        <w:widowControl/>
        <w:spacing w:line="360" w:lineRule="auto"/>
        <w:ind w:firstLineChars="200" w:firstLine="560"/>
        <w:jc w:val="left"/>
        <w:rPr>
          <w:rFonts w:ascii="仿宋_GB2312" w:eastAsia="仿宋_GB2312" w:hAnsi="华文中宋"/>
          <w:sz w:val="28"/>
          <w:szCs w:val="28"/>
        </w:rPr>
      </w:pPr>
      <w:r>
        <w:rPr>
          <w:rFonts w:ascii="仿宋_GB2312" w:eastAsia="仿宋_GB2312" w:hAnsi="仿宋_GB2312" w:cs="仿宋_GB2312" w:hint="eastAsia"/>
          <w:sz w:val="28"/>
          <w:szCs w:val="28"/>
        </w:rPr>
        <w:t>中标后7天内签订合同。按需分批供货，送至医院指定位置。验收合格后符合项目要求，在收到供货商提供的合法税务发票后两个月</w:t>
      </w:r>
      <w:r>
        <w:rPr>
          <w:rFonts w:ascii="仿宋_GB2312" w:eastAsia="仿宋_GB2312" w:hAnsi="华文中宋" w:hint="eastAsia"/>
          <w:sz w:val="28"/>
          <w:szCs w:val="28"/>
        </w:rPr>
        <w:t>内以转账方式支付货款，按实际购买结算，</w:t>
      </w:r>
      <w:r>
        <w:rPr>
          <w:rFonts w:ascii="仿宋_GB2312" w:eastAsia="仿宋_GB2312" w:hAnsi="仿宋_GB2312" w:cs="仿宋_GB2312" w:hint="eastAsia"/>
          <w:sz w:val="28"/>
          <w:szCs w:val="28"/>
        </w:rPr>
        <w:t>不计付利息</w:t>
      </w:r>
      <w:r>
        <w:rPr>
          <w:rFonts w:ascii="仿宋_GB2312" w:eastAsia="仿宋_GB2312" w:hAnsi="华文中宋" w:hint="eastAsia"/>
          <w:sz w:val="28"/>
          <w:szCs w:val="28"/>
        </w:rPr>
        <w:t>。</w:t>
      </w:r>
    </w:p>
    <w:p w:rsidR="009B616A" w:rsidRDefault="00675A10">
      <w:pPr>
        <w:widowControl/>
        <w:spacing w:line="360" w:lineRule="auto"/>
        <w:ind w:firstLineChars="200" w:firstLine="562"/>
        <w:jc w:val="left"/>
        <w:rPr>
          <w:rFonts w:ascii="仿宋_GB2312" w:eastAsia="仿宋_GB2312" w:hAnsi="仿宋_GB2312"/>
          <w:b/>
          <w:kern w:val="0"/>
          <w:sz w:val="28"/>
          <w:szCs w:val="28"/>
        </w:rPr>
      </w:pPr>
      <w:r>
        <w:rPr>
          <w:rFonts w:ascii="仿宋_GB2312" w:eastAsia="仿宋_GB2312" w:hAnsi="仿宋_GB2312" w:hint="eastAsia"/>
          <w:b/>
          <w:kern w:val="0"/>
          <w:sz w:val="28"/>
          <w:szCs w:val="28"/>
        </w:rPr>
        <w:t>五、标书内容（加盖公章）</w:t>
      </w:r>
    </w:p>
    <w:p w:rsidR="009B616A" w:rsidRDefault="00675A10">
      <w:pPr>
        <w:tabs>
          <w:tab w:val="left" w:pos="900"/>
        </w:tabs>
        <w:spacing w:line="44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1、投标产品品牌型号、报价表(单价及总价)，报价中应包含运费、税费等以及国家规定的各项费用。</w:t>
      </w:r>
    </w:p>
    <w:p w:rsidR="009B616A" w:rsidRDefault="00675A10">
      <w:pPr>
        <w:tabs>
          <w:tab w:val="left" w:pos="900"/>
        </w:tabs>
        <w:spacing w:line="44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2、公司营业执照及有关资质证明材料等。企业法人营业执照、法人代表身份证复印件、税务登记证等。</w:t>
      </w:r>
    </w:p>
    <w:p w:rsidR="009B616A" w:rsidRDefault="00675A10">
      <w:pPr>
        <w:tabs>
          <w:tab w:val="left" w:pos="900"/>
        </w:tabs>
        <w:spacing w:line="44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3、供货商详细地址及电话。</w:t>
      </w:r>
    </w:p>
    <w:p w:rsidR="009B616A" w:rsidRDefault="00675A10">
      <w:pPr>
        <w:tabs>
          <w:tab w:val="left" w:pos="900"/>
        </w:tabs>
        <w:spacing w:line="44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4、投标书（包括相关资料）落款处应加盖投标单位印章和法人代表签字（或盖章）。</w:t>
      </w:r>
      <w:r>
        <w:rPr>
          <w:rFonts w:ascii="仿宋_GB2312" w:eastAsia="仿宋_GB2312" w:hAnsi="仿宋_GB2312" w:hint="eastAsia"/>
          <w:b/>
          <w:bCs/>
          <w:kern w:val="0"/>
          <w:sz w:val="28"/>
          <w:szCs w:val="28"/>
        </w:rPr>
        <w:t>投标书一式两份，必须胶装成册,不接受散页、活页或未胶装成册的投标文件,并装袋密封，封口应加盖投标单位印章，否则作废标处理。</w:t>
      </w:r>
    </w:p>
    <w:p w:rsidR="009B616A" w:rsidRDefault="00675A10">
      <w:pPr>
        <w:widowControl/>
        <w:spacing w:line="440" w:lineRule="exact"/>
        <w:ind w:firstLineChars="200" w:firstLine="562"/>
        <w:jc w:val="left"/>
        <w:rPr>
          <w:rFonts w:ascii="仿宋_GB2312" w:eastAsia="仿宋_GB2312" w:hAnsi="仿宋_GB2312"/>
          <w:b/>
          <w:kern w:val="0"/>
          <w:sz w:val="28"/>
          <w:szCs w:val="28"/>
        </w:rPr>
      </w:pPr>
      <w:r>
        <w:rPr>
          <w:rFonts w:ascii="仿宋_GB2312" w:eastAsia="仿宋_GB2312" w:hAnsi="仿宋_GB2312" w:hint="eastAsia"/>
          <w:b/>
          <w:kern w:val="0"/>
          <w:sz w:val="28"/>
          <w:szCs w:val="28"/>
        </w:rPr>
        <w:t>六、评标办法</w:t>
      </w:r>
    </w:p>
    <w:p w:rsidR="009B616A" w:rsidRDefault="00675A10">
      <w:pPr>
        <w:widowControl/>
        <w:spacing w:line="440" w:lineRule="exact"/>
        <w:ind w:firstLineChars="200" w:firstLine="560"/>
        <w:jc w:val="left"/>
        <w:rPr>
          <w:rFonts w:ascii="仿宋_GB2312" w:eastAsia="仿宋_GB2312"/>
          <w:sz w:val="28"/>
          <w:szCs w:val="28"/>
        </w:rPr>
      </w:pPr>
      <w:r>
        <w:rPr>
          <w:rFonts w:ascii="仿宋_GB2312" w:eastAsia="仿宋_GB2312" w:hAnsi="华文中宋" w:hint="eastAsia"/>
          <w:sz w:val="28"/>
          <w:szCs w:val="28"/>
        </w:rPr>
        <w:t>最高控制价为63000元，高于最高控制价（含63000元）为无效标，低于最高控制价者为有效标，经评委品尝样品合格的投标单位可以提交二次报价，二次报价不得高于一次报价</w:t>
      </w:r>
      <w:r>
        <w:rPr>
          <w:rFonts w:ascii="仿宋" w:eastAsia="仿宋" w:hAnsi="仿宋" w:cs="仿宋" w:hint="eastAsia"/>
          <w:bCs/>
          <w:sz w:val="28"/>
          <w:szCs w:val="28"/>
        </w:rPr>
        <w:t>，</w:t>
      </w:r>
      <w:r>
        <w:rPr>
          <w:rFonts w:ascii="仿宋_GB2312" w:eastAsia="仿宋_GB2312" w:hAnsi="华文中宋" w:hint="eastAsia"/>
          <w:sz w:val="28"/>
          <w:szCs w:val="28"/>
        </w:rPr>
        <w:t>且报价最低者为第一中标候选人。</w:t>
      </w:r>
    </w:p>
    <w:p w:rsidR="009B616A" w:rsidRDefault="00675A10">
      <w:pPr>
        <w:widowControl/>
        <w:spacing w:line="440" w:lineRule="exact"/>
        <w:ind w:firstLineChars="200" w:firstLine="562"/>
        <w:jc w:val="left"/>
        <w:rPr>
          <w:rFonts w:ascii="仿宋_GB2312" w:eastAsia="仿宋_GB2312" w:hAnsi="仿宋_GB2312"/>
          <w:b/>
          <w:kern w:val="0"/>
          <w:sz w:val="28"/>
          <w:szCs w:val="28"/>
        </w:rPr>
      </w:pPr>
      <w:r>
        <w:rPr>
          <w:rFonts w:ascii="仿宋_GB2312" w:eastAsia="仿宋_GB2312" w:hAnsi="仿宋_GB2312" w:hint="eastAsia"/>
          <w:b/>
          <w:kern w:val="0"/>
          <w:sz w:val="28"/>
          <w:szCs w:val="28"/>
        </w:rPr>
        <w:t>七、其他说明</w:t>
      </w:r>
    </w:p>
    <w:p w:rsidR="009B616A" w:rsidRDefault="00675A10">
      <w:pPr>
        <w:tabs>
          <w:tab w:val="left" w:pos="900"/>
        </w:tabs>
        <w:spacing w:line="440" w:lineRule="exact"/>
        <w:jc w:val="left"/>
        <w:rPr>
          <w:rFonts w:ascii="仿宋_GB2312" w:eastAsia="仿宋_GB2312" w:hAnsi="华文中宋"/>
          <w:sz w:val="28"/>
          <w:szCs w:val="28"/>
        </w:rPr>
      </w:pPr>
      <w:r>
        <w:rPr>
          <w:rFonts w:ascii="仿宋_GB2312" w:eastAsia="仿宋_GB2312" w:hAnsi="华文中宋" w:hint="eastAsia"/>
          <w:sz w:val="28"/>
          <w:szCs w:val="28"/>
        </w:rPr>
        <w:t xml:space="preserve">   1、</w:t>
      </w:r>
      <w:r>
        <w:rPr>
          <w:rFonts w:ascii="仿宋_GB2312" w:eastAsia="仿宋_GB2312" w:hAnsi="华文中宋" w:hint="eastAsia"/>
          <w:b/>
          <w:bCs/>
          <w:sz w:val="28"/>
          <w:szCs w:val="28"/>
        </w:rPr>
        <w:t>投标保证金1000元</w:t>
      </w:r>
      <w:r>
        <w:rPr>
          <w:rFonts w:ascii="仿宋_GB2312" w:eastAsia="仿宋_GB2312" w:hAnsi="华文中宋" w:hint="eastAsia"/>
          <w:sz w:val="28"/>
          <w:szCs w:val="28"/>
        </w:rPr>
        <w:t>，由投标单位的</w:t>
      </w:r>
      <w:r>
        <w:rPr>
          <w:rFonts w:ascii="仿宋_GB2312" w:eastAsia="仿宋_GB2312" w:hAnsi="华文中宋" w:hint="eastAsia"/>
          <w:b/>
          <w:bCs/>
          <w:sz w:val="28"/>
          <w:szCs w:val="28"/>
        </w:rPr>
        <w:t>基本账户</w:t>
      </w:r>
      <w:r>
        <w:rPr>
          <w:rFonts w:ascii="仿宋_GB2312" w:eastAsia="仿宋_GB2312" w:hAnsi="华文中宋" w:hint="eastAsia"/>
          <w:sz w:val="28"/>
          <w:szCs w:val="28"/>
        </w:rPr>
        <w:t>全额转入医院的指定帐户（单位名称:赣州市人民医院；账号:1510220109026473030；开户银行:工商银行赣州市虔城支行），须在开标前一天下午4点前到账</w:t>
      </w:r>
      <w:r>
        <w:rPr>
          <w:rFonts w:ascii="仿宋_GB2312" w:eastAsia="仿宋_GB2312" w:hint="eastAsia"/>
          <w:sz w:val="28"/>
          <w:szCs w:val="28"/>
        </w:rPr>
        <w:t>（北京时间）前到账，否则响应无效。</w:t>
      </w:r>
      <w:r>
        <w:rPr>
          <w:rFonts w:ascii="仿宋_GB2312" w:eastAsia="仿宋_GB2312" w:hAnsi="华文中宋" w:hint="eastAsia"/>
          <w:b/>
          <w:bCs/>
          <w:sz w:val="28"/>
          <w:szCs w:val="28"/>
        </w:rPr>
        <w:t>开标时递交缴纳投标保证金银行回单复印件或打印的电子回单。</w:t>
      </w:r>
      <w:r>
        <w:rPr>
          <w:rFonts w:ascii="仿宋_GB2312" w:eastAsia="仿宋_GB2312" w:hAnsi="华文中宋" w:hint="eastAsia"/>
          <w:sz w:val="28"/>
          <w:szCs w:val="28"/>
        </w:rPr>
        <w:t>如中标则转为履约保证金，本项</w:t>
      </w:r>
      <w:r>
        <w:rPr>
          <w:rFonts w:ascii="仿宋_GB2312" w:eastAsia="仿宋_GB2312" w:hAnsi="华文中宋" w:hint="eastAsia"/>
          <w:sz w:val="28"/>
          <w:szCs w:val="28"/>
        </w:rPr>
        <w:lastRenderedPageBreak/>
        <w:t>目履约保证金为3000元，项目终止之日起十五个工作日内予以无息退还；如未中标，在中标通知书发出后5个工作日内无息退还。</w:t>
      </w:r>
    </w:p>
    <w:p w:rsidR="009B616A" w:rsidRDefault="00675A10">
      <w:pPr>
        <w:tabs>
          <w:tab w:val="left" w:pos="900"/>
        </w:tabs>
        <w:spacing w:line="440" w:lineRule="exact"/>
        <w:ind w:firstLineChars="200" w:firstLine="560"/>
        <w:jc w:val="left"/>
        <w:rPr>
          <w:rFonts w:ascii="仿宋_GB2312" w:eastAsia="仿宋_GB2312" w:hAnsi="华文中宋"/>
          <w:sz w:val="28"/>
          <w:szCs w:val="28"/>
        </w:rPr>
      </w:pPr>
      <w:r>
        <w:rPr>
          <w:rFonts w:ascii="仿宋_GB2312" w:eastAsia="仿宋_GB2312" w:hAnsi="华文中宋" w:hint="eastAsia"/>
          <w:sz w:val="28"/>
          <w:szCs w:val="28"/>
        </w:rPr>
        <w:t>2、中标单位在接中标通知后三个工作日内到总务科签订合同。</w:t>
      </w:r>
    </w:p>
    <w:p w:rsidR="009B616A" w:rsidRDefault="00675A10">
      <w:pPr>
        <w:spacing w:line="460" w:lineRule="exact"/>
        <w:ind w:firstLineChars="200" w:firstLine="560"/>
        <w:rPr>
          <w:rFonts w:ascii="仿宋_GB2312" w:eastAsia="仿宋_GB2312"/>
          <w:sz w:val="28"/>
          <w:szCs w:val="28"/>
        </w:rPr>
      </w:pPr>
      <w:r>
        <w:rPr>
          <w:rFonts w:ascii="仿宋_GB2312" w:eastAsia="仿宋_GB2312" w:hint="eastAsia"/>
          <w:sz w:val="28"/>
          <w:szCs w:val="28"/>
        </w:rPr>
        <w:t>3、中标单位中标后不得转标，否则，取消中标资格。</w:t>
      </w:r>
    </w:p>
    <w:p w:rsidR="009B616A" w:rsidRDefault="00675A10">
      <w:pPr>
        <w:spacing w:line="460" w:lineRule="exact"/>
        <w:ind w:firstLineChars="200" w:firstLine="560"/>
        <w:rPr>
          <w:rFonts w:ascii="仿宋_GB2312" w:eastAsia="仿宋_GB2312"/>
          <w:sz w:val="28"/>
          <w:szCs w:val="28"/>
        </w:rPr>
      </w:pPr>
      <w:r>
        <w:rPr>
          <w:rFonts w:ascii="仿宋_GB2312" w:eastAsia="仿宋_GB2312" w:hint="eastAsia"/>
          <w:sz w:val="28"/>
          <w:szCs w:val="28"/>
        </w:rPr>
        <w:t>4、开标时间：</w:t>
      </w:r>
      <w:r>
        <w:rPr>
          <w:rFonts w:ascii="仿宋_GB2312" w:eastAsia="仿宋_GB2312" w:hint="eastAsia"/>
          <w:sz w:val="28"/>
          <w:szCs w:val="28"/>
          <w:u w:val="single"/>
        </w:rPr>
        <w:t>2018</w:t>
      </w:r>
      <w:r>
        <w:rPr>
          <w:rFonts w:ascii="仿宋_GB2312" w:eastAsia="仿宋_GB2312" w:hint="eastAsia"/>
          <w:sz w:val="28"/>
          <w:szCs w:val="28"/>
        </w:rPr>
        <w:t>年</w:t>
      </w:r>
      <w:r w:rsidR="00C07F67">
        <w:rPr>
          <w:rFonts w:ascii="仿宋_GB2312" w:eastAsia="仿宋_GB2312" w:hint="eastAsia"/>
          <w:sz w:val="28"/>
          <w:szCs w:val="28"/>
        </w:rPr>
        <w:t>5</w:t>
      </w:r>
      <w:r>
        <w:rPr>
          <w:rFonts w:ascii="仿宋_GB2312" w:eastAsia="仿宋_GB2312" w:hint="eastAsia"/>
          <w:sz w:val="28"/>
          <w:szCs w:val="28"/>
        </w:rPr>
        <w:t>月</w:t>
      </w:r>
      <w:r w:rsidR="001510AC">
        <w:rPr>
          <w:rFonts w:ascii="仿宋_GB2312" w:eastAsia="仿宋_GB2312" w:hint="eastAsia"/>
          <w:sz w:val="28"/>
          <w:szCs w:val="28"/>
        </w:rPr>
        <w:t>25</w:t>
      </w:r>
      <w:r>
        <w:rPr>
          <w:rFonts w:ascii="仿宋_GB2312" w:eastAsia="仿宋_GB2312" w:hint="eastAsia"/>
          <w:sz w:val="28"/>
          <w:szCs w:val="28"/>
        </w:rPr>
        <w:t>日</w:t>
      </w:r>
      <w:r w:rsidR="00C07F67">
        <w:rPr>
          <w:rFonts w:ascii="仿宋_GB2312" w:eastAsia="仿宋_GB2312" w:hint="eastAsia"/>
          <w:sz w:val="28"/>
          <w:szCs w:val="28"/>
        </w:rPr>
        <w:t>下午15：00</w:t>
      </w:r>
    </w:p>
    <w:p w:rsidR="009B616A" w:rsidRDefault="00675A10">
      <w:pPr>
        <w:spacing w:line="480" w:lineRule="exact"/>
        <w:ind w:firstLineChars="200" w:firstLine="560"/>
        <w:rPr>
          <w:rFonts w:ascii="仿宋_GB2312" w:eastAsia="仿宋_GB2312"/>
          <w:sz w:val="28"/>
          <w:szCs w:val="28"/>
        </w:rPr>
      </w:pPr>
      <w:r>
        <w:rPr>
          <w:rFonts w:ascii="仿宋_GB2312" w:eastAsia="仿宋_GB2312" w:hint="eastAsia"/>
          <w:sz w:val="28"/>
          <w:szCs w:val="28"/>
        </w:rPr>
        <w:t>5、开标地点：赣州市人民医院南院行政楼2楼4号会议室</w:t>
      </w:r>
    </w:p>
    <w:p w:rsidR="009B616A" w:rsidRDefault="009B616A">
      <w:pPr>
        <w:ind w:left="570"/>
        <w:rPr>
          <w:rFonts w:ascii="仿宋_GB2312" w:eastAsia="仿宋_GB2312" w:hAnsi="华文中宋"/>
          <w:sz w:val="28"/>
          <w:szCs w:val="28"/>
        </w:rPr>
      </w:pPr>
    </w:p>
    <w:p w:rsidR="009B616A" w:rsidRDefault="00675A10">
      <w:pPr>
        <w:ind w:left="570"/>
        <w:jc w:val="center"/>
        <w:rPr>
          <w:rFonts w:ascii="仿宋_GB2312" w:eastAsia="仿宋_GB2312" w:hAnsi="华文中宋"/>
          <w:sz w:val="28"/>
          <w:szCs w:val="28"/>
        </w:rPr>
      </w:pPr>
      <w:r>
        <w:rPr>
          <w:rFonts w:ascii="仿宋_GB2312" w:eastAsia="仿宋_GB2312" w:hAnsi="华文中宋" w:hint="eastAsia"/>
          <w:sz w:val="28"/>
          <w:szCs w:val="28"/>
        </w:rPr>
        <w:t xml:space="preserve">                                       赣州市人民医院</w:t>
      </w:r>
    </w:p>
    <w:p w:rsidR="009B616A" w:rsidRDefault="00675A10">
      <w:pPr>
        <w:ind w:left="570"/>
        <w:jc w:val="center"/>
        <w:rPr>
          <w:rFonts w:ascii="仿宋_GB2312" w:eastAsia="仿宋_GB2312" w:hAnsi="华文中宋"/>
          <w:sz w:val="28"/>
          <w:szCs w:val="28"/>
        </w:rPr>
      </w:pPr>
      <w:r>
        <w:rPr>
          <w:rFonts w:ascii="仿宋_GB2312" w:eastAsia="仿宋_GB2312" w:hAnsi="华文中宋" w:hint="eastAsia"/>
          <w:sz w:val="28"/>
          <w:szCs w:val="28"/>
        </w:rPr>
        <w:t xml:space="preserve">                                       2018年</w:t>
      </w:r>
      <w:r w:rsidR="00C07F67">
        <w:rPr>
          <w:rFonts w:ascii="仿宋_GB2312" w:eastAsia="仿宋_GB2312" w:hAnsi="华文中宋" w:hint="eastAsia"/>
          <w:sz w:val="28"/>
          <w:szCs w:val="28"/>
        </w:rPr>
        <w:t>5</w:t>
      </w:r>
      <w:r>
        <w:rPr>
          <w:rFonts w:ascii="仿宋_GB2312" w:eastAsia="仿宋_GB2312" w:hAnsi="华文中宋" w:hint="eastAsia"/>
          <w:sz w:val="28"/>
          <w:szCs w:val="28"/>
        </w:rPr>
        <w:t>月</w:t>
      </w:r>
      <w:r w:rsidR="001510AC">
        <w:rPr>
          <w:rFonts w:ascii="仿宋_GB2312" w:eastAsia="仿宋_GB2312" w:hAnsi="华文中宋" w:hint="eastAsia"/>
          <w:sz w:val="28"/>
          <w:szCs w:val="28"/>
        </w:rPr>
        <w:t>11</w:t>
      </w:r>
      <w:r>
        <w:rPr>
          <w:rFonts w:ascii="仿宋_GB2312" w:eastAsia="仿宋_GB2312" w:hAnsi="华文中宋" w:hint="eastAsia"/>
          <w:sz w:val="28"/>
          <w:szCs w:val="28"/>
        </w:rPr>
        <w:t>日</w:t>
      </w:r>
    </w:p>
    <w:p w:rsidR="009B616A" w:rsidRDefault="009B616A"/>
    <w:sectPr w:rsidR="009B616A" w:rsidSect="009B61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CBF" w:rsidRDefault="005D7CBF" w:rsidP="00CB1BFA">
      <w:r>
        <w:separator/>
      </w:r>
    </w:p>
  </w:endnote>
  <w:endnote w:type="continuationSeparator" w:id="1">
    <w:p w:rsidR="005D7CBF" w:rsidRDefault="005D7CBF" w:rsidP="00CB1B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CBF" w:rsidRDefault="005D7CBF" w:rsidP="00CB1BFA">
      <w:r>
        <w:separator/>
      </w:r>
    </w:p>
  </w:footnote>
  <w:footnote w:type="continuationSeparator" w:id="1">
    <w:p w:rsidR="005D7CBF" w:rsidRDefault="005D7CBF" w:rsidP="00CB1B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A8F29ED"/>
    <w:rsid w:val="001510AC"/>
    <w:rsid w:val="005D7CBF"/>
    <w:rsid w:val="00675A10"/>
    <w:rsid w:val="009B616A"/>
    <w:rsid w:val="00A62933"/>
    <w:rsid w:val="00C07F67"/>
    <w:rsid w:val="00CB1BFA"/>
    <w:rsid w:val="00EF2FDB"/>
    <w:rsid w:val="01725EA8"/>
    <w:rsid w:val="06E82256"/>
    <w:rsid w:val="13AB3EA9"/>
    <w:rsid w:val="1A2469FE"/>
    <w:rsid w:val="1A8D4791"/>
    <w:rsid w:val="2A8F29ED"/>
    <w:rsid w:val="408D35E0"/>
    <w:rsid w:val="44F3409F"/>
    <w:rsid w:val="5B852879"/>
    <w:rsid w:val="6A85569C"/>
    <w:rsid w:val="77D216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616A"/>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9B61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CB1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B1BFA"/>
    <w:rPr>
      <w:rFonts w:eastAsia="宋体"/>
      <w:kern w:val="2"/>
      <w:sz w:val="18"/>
      <w:szCs w:val="18"/>
    </w:rPr>
  </w:style>
  <w:style w:type="paragraph" w:styleId="a5">
    <w:name w:val="footer"/>
    <w:basedOn w:val="a"/>
    <w:link w:val="Char0"/>
    <w:rsid w:val="00CB1BFA"/>
    <w:pPr>
      <w:tabs>
        <w:tab w:val="center" w:pos="4153"/>
        <w:tab w:val="right" w:pos="8306"/>
      </w:tabs>
      <w:snapToGrid w:val="0"/>
      <w:jc w:val="left"/>
    </w:pPr>
    <w:rPr>
      <w:sz w:val="18"/>
      <w:szCs w:val="18"/>
    </w:rPr>
  </w:style>
  <w:style w:type="character" w:customStyle="1" w:styleId="Char0">
    <w:name w:val="页脚 Char"/>
    <w:basedOn w:val="a0"/>
    <w:link w:val="a5"/>
    <w:rsid w:val="00CB1BFA"/>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197</Words>
  <Characters>1126</Characters>
  <Application>Microsoft Office Word</Application>
  <DocSecurity>0</DocSecurity>
  <Lines>9</Lines>
  <Paragraphs>2</Paragraphs>
  <ScaleCrop>false</ScaleCrop>
  <Company>微软中国</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6</cp:revision>
  <cp:lastPrinted>2018-04-26T00:28:00Z</cp:lastPrinted>
  <dcterms:created xsi:type="dcterms:W3CDTF">2018-04-24T07:15:00Z</dcterms:created>
  <dcterms:modified xsi:type="dcterms:W3CDTF">2018-05-11T00:16:00Z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