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b/>
          <w:kern w:val="0"/>
          <w:sz w:val="32"/>
        </w:rPr>
      </w:pPr>
      <w:r>
        <w:rPr>
          <w:rFonts w:hint="eastAsia" w:ascii="宋体" w:hAnsi="宋体"/>
          <w:b/>
          <w:color w:val="000000" w:themeColor="text1"/>
          <w:kern w:val="0"/>
          <w:sz w:val="32"/>
        </w:rPr>
        <w:t>公车租赁服务</w:t>
      </w:r>
      <w:r>
        <w:rPr>
          <w:rFonts w:hint="eastAsia" w:ascii="宋体" w:hAnsi="宋体"/>
          <w:b/>
          <w:kern w:val="0"/>
          <w:sz w:val="32"/>
        </w:rPr>
        <w:t>项目竞谈文件</w:t>
      </w:r>
    </w:p>
    <w:p>
      <w:pPr>
        <w:numPr>
          <w:ilvl w:val="0"/>
          <w:numId w:val="1"/>
        </w:numPr>
        <w:tabs>
          <w:tab w:val="left" w:pos="900"/>
        </w:tabs>
        <w:spacing w:line="480" w:lineRule="exact"/>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基本原则</w:t>
      </w:r>
    </w:p>
    <w:p>
      <w:pPr>
        <w:tabs>
          <w:tab w:val="left" w:pos="900"/>
        </w:tabs>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tabs>
          <w:tab w:val="left" w:pos="900"/>
        </w:tabs>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二</w:t>
      </w:r>
      <w:r>
        <w:rPr>
          <w:rFonts w:hint="eastAsia" w:ascii="仿宋_GB2312" w:hAnsi="仿宋_GB2312" w:eastAsia="仿宋_GB2312"/>
          <w:b/>
          <w:bCs/>
          <w:sz w:val="28"/>
          <w:szCs w:val="28"/>
        </w:rPr>
        <w:t>、投标单位的资质要求</w:t>
      </w:r>
    </w:p>
    <w:p>
      <w:pPr>
        <w:tabs>
          <w:tab w:val="left" w:pos="900"/>
        </w:tabs>
        <w:spacing w:line="480" w:lineRule="exact"/>
        <w:ind w:firstLine="560" w:firstLineChars="20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1、具有中华人民共和国工商行政管理机关颁发的有效企业营业执照和税务登记证。</w:t>
      </w:r>
    </w:p>
    <w:p>
      <w:pPr>
        <w:tabs>
          <w:tab w:val="left" w:pos="900"/>
        </w:tabs>
        <w:spacing w:line="480" w:lineRule="exact"/>
        <w:ind w:firstLine="560" w:firstLineChars="20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2、具有独立承担民事责任能力的法人或其他组织。</w:t>
      </w:r>
    </w:p>
    <w:p>
      <w:pPr>
        <w:tabs>
          <w:tab w:val="left" w:pos="900"/>
        </w:tabs>
        <w:spacing w:line="480" w:lineRule="exact"/>
        <w:ind w:firstLine="560" w:firstLineChars="200"/>
        <w:rPr>
          <w:rFonts w:ascii="仿宋_GB2312" w:hAnsi="仿宋_GB2312" w:eastAsia="仿宋_GB2312"/>
          <w:color w:val="000000" w:themeColor="text1"/>
          <w:sz w:val="28"/>
          <w:szCs w:val="28"/>
        </w:rPr>
      </w:pPr>
      <w:r>
        <w:rPr>
          <w:rFonts w:hint="eastAsia" w:ascii="仿宋_GB2312" w:hAnsi="仿宋_GB2312" w:eastAsia="仿宋_GB2312"/>
          <w:color w:val="000000" w:themeColor="text1"/>
          <w:sz w:val="28"/>
          <w:szCs w:val="28"/>
        </w:rPr>
        <w:t>3、近三年经营活动中无重大违法记录的书面声明。</w:t>
      </w:r>
    </w:p>
    <w:p>
      <w:pPr>
        <w:tabs>
          <w:tab w:val="left" w:pos="900"/>
        </w:tabs>
        <w:spacing w:line="48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三、资质审核</w:t>
      </w:r>
    </w:p>
    <w:p>
      <w:pPr>
        <w:tabs>
          <w:tab w:val="left" w:pos="900"/>
        </w:tabs>
        <w:spacing w:line="48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开标时请投标代表携带好身份证原件，评委现场对投标文件资质材料及身份证原件进行审核。</w:t>
      </w:r>
    </w:p>
    <w:p>
      <w:pPr>
        <w:numPr>
          <w:ilvl w:val="0"/>
          <w:numId w:val="2"/>
        </w:numPr>
        <w:tabs>
          <w:tab w:val="left" w:pos="900"/>
        </w:tabs>
        <w:spacing w:line="48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内容</w:t>
      </w:r>
    </w:p>
    <w:p>
      <w:pPr>
        <w:tabs>
          <w:tab w:val="left" w:pos="900"/>
        </w:tabs>
        <w:spacing w:line="480" w:lineRule="exact"/>
        <w:ind w:left="562"/>
        <w:rPr>
          <w:rFonts w:ascii="仿宋_GB2312" w:hAnsi="仿宋_GB2312" w:eastAsia="仿宋_GB2312"/>
          <w:b/>
          <w:kern w:val="0"/>
          <w:sz w:val="28"/>
          <w:szCs w:val="28"/>
        </w:rPr>
      </w:pPr>
      <w:r>
        <w:rPr>
          <w:rFonts w:hint="eastAsia" w:ascii="仿宋_GB2312" w:hAnsi="仿宋_GB2312" w:eastAsia="仿宋_GB2312"/>
          <w:b/>
          <w:kern w:val="0"/>
          <w:sz w:val="28"/>
          <w:szCs w:val="28"/>
        </w:rPr>
        <w:t>公车租赁服务</w:t>
      </w:r>
    </w:p>
    <w:p>
      <w:pPr>
        <w:numPr>
          <w:ilvl w:val="0"/>
          <w:numId w:val="2"/>
        </w:numPr>
        <w:tabs>
          <w:tab w:val="left" w:pos="900"/>
        </w:tabs>
        <w:spacing w:line="480" w:lineRule="exact"/>
        <w:ind w:firstLine="562" w:firstLineChars="200"/>
        <w:rPr>
          <w:rFonts w:ascii="仿宋_GB2312" w:hAnsi="仿宋_GB2312" w:eastAsia="仿宋_GB2312"/>
          <w:b/>
          <w:kern w:val="0"/>
          <w:sz w:val="28"/>
          <w:szCs w:val="28"/>
        </w:rPr>
      </w:pPr>
      <w:r>
        <w:rPr>
          <w:rFonts w:hint="eastAsia" w:ascii="仿宋_GB2312" w:hAnsi="仿宋_GB2312" w:eastAsia="仿宋_GB2312"/>
          <w:b/>
          <w:kern w:val="0"/>
          <w:sz w:val="28"/>
          <w:szCs w:val="28"/>
        </w:rPr>
        <w:t>要求</w:t>
      </w:r>
    </w:p>
    <w:p>
      <w:pPr>
        <w:tabs>
          <w:tab w:val="left" w:pos="900"/>
        </w:tabs>
        <w:spacing w:line="480" w:lineRule="exact"/>
        <w:ind w:firstLine="560" w:firstLineChars="200"/>
        <w:rPr>
          <w:rFonts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1、供应商所投各种车型均为国产或合资品牌，进口车型不得参与本采购项目；</w:t>
      </w:r>
    </w:p>
    <w:p>
      <w:pPr>
        <w:tabs>
          <w:tab w:val="left" w:pos="900"/>
        </w:tabs>
        <w:spacing w:line="480" w:lineRule="exact"/>
        <w:ind w:firstLine="560" w:firstLineChars="200"/>
        <w:rPr>
          <w:rFonts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2、供应商所投各种车型均须保证成新度在8成以上，未经任何改装且符合国家规定，手续齐全；</w:t>
      </w:r>
    </w:p>
    <w:p>
      <w:pPr>
        <w:tabs>
          <w:tab w:val="left" w:pos="900"/>
        </w:tabs>
        <w:spacing w:line="480" w:lineRule="exact"/>
        <w:ind w:firstLine="560" w:firstLineChars="200"/>
        <w:rPr>
          <w:rFonts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3、供应商提供司机服务时，所配备司机应具有相应准驾车型证件并承担相应的司机安全责任；</w:t>
      </w:r>
    </w:p>
    <w:p>
      <w:pPr>
        <w:tabs>
          <w:tab w:val="left" w:pos="900"/>
        </w:tabs>
        <w:spacing w:line="480" w:lineRule="exact"/>
        <w:ind w:firstLine="560" w:firstLineChars="200"/>
        <w:rPr>
          <w:rFonts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4、供应商所投各种车型价格不得高于市同级单位相应车型用车价格（提供相应合同证明）；</w:t>
      </w:r>
    </w:p>
    <w:p>
      <w:pPr>
        <w:tabs>
          <w:tab w:val="left" w:pos="900"/>
        </w:tabs>
        <w:spacing w:line="480" w:lineRule="exact"/>
        <w:ind w:firstLine="560" w:firstLineChars="200"/>
        <w:rPr>
          <w:rFonts w:hint="eastAsia"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5、市区用车是指含市政中心、火车站、飞机场、医院定点接待酒店等在内的城区范围，其报价包含油费、司机费、停车费等所有费用；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ascii="仿宋_GB2312" w:hAnsi="仿宋_GB2312" w:eastAsia="仿宋_GB2312"/>
          <w:color w:val="000000" w:themeColor="text1"/>
          <w:kern w:val="0"/>
          <w:sz w:val="28"/>
          <w:szCs w:val="28"/>
        </w:rPr>
      </w:pPr>
      <w:r>
        <w:rPr>
          <w:rFonts w:hint="eastAsia" w:ascii="仿宋_GB2312" w:hAnsi="仿宋_GB2312" w:eastAsia="仿宋_GB2312"/>
          <w:color w:val="000000" w:themeColor="text1"/>
          <w:kern w:val="0"/>
          <w:sz w:val="28"/>
          <w:szCs w:val="28"/>
        </w:rPr>
        <w:t>6、包车服务中油费、路桥通行费、停车费等费用均不含在报价范围，按实际消费进行结算；</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ascii="仿宋_GB2312" w:hAnsi="仿宋_GB2312" w:eastAsia="仿宋_GB2312"/>
          <w:color w:val="000000" w:themeColor="text1"/>
          <w:kern w:val="0"/>
          <w:sz w:val="28"/>
          <w:szCs w:val="28"/>
          <w:lang w:eastAsia="zh-CN"/>
        </w:rPr>
      </w:pPr>
      <w:r>
        <w:rPr>
          <w:rFonts w:hint="eastAsia" w:ascii="仿宋_GB2312" w:hAnsi="仿宋_GB2312" w:eastAsia="仿宋_GB2312"/>
          <w:color w:val="000000" w:themeColor="text1"/>
          <w:kern w:val="0"/>
          <w:sz w:val="28"/>
          <w:szCs w:val="28"/>
        </w:rPr>
        <w:t>7、供应商须根据医院用车要求，及时提供相应服务，并确保车辆交付前性能安全正常</w:t>
      </w:r>
      <w:r>
        <w:rPr>
          <w:rFonts w:hint="eastAsia" w:ascii="仿宋_GB2312" w:hAnsi="仿宋_GB2312" w:eastAsia="仿宋_GB2312"/>
          <w:color w:val="000000" w:themeColor="text1"/>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280" w:firstLineChars="100"/>
        <w:textAlignment w:val="auto"/>
        <w:outlineLvl w:val="9"/>
        <w:rPr>
          <w:rFonts w:ascii="仿宋_GB2312" w:hAnsi="仿宋_GB2312" w:eastAsia="仿宋_GB2312"/>
          <w:b/>
          <w:color w:val="000000" w:themeColor="text1"/>
          <w:kern w:val="0"/>
          <w:sz w:val="28"/>
          <w:szCs w:val="28"/>
        </w:rPr>
      </w:pPr>
      <w:r>
        <w:rPr>
          <w:rFonts w:hint="eastAsia" w:ascii="仿宋_GB2312" w:hAnsi="仿宋_GB2312" w:eastAsia="仿宋_GB2312"/>
          <w:color w:val="000000" w:themeColor="text1"/>
          <w:kern w:val="0"/>
          <w:sz w:val="28"/>
          <w:szCs w:val="28"/>
        </w:rPr>
        <w:t xml:space="preserve">  </w:t>
      </w:r>
      <w:r>
        <w:rPr>
          <w:rFonts w:hint="eastAsia" w:ascii="仿宋_GB2312" w:hAnsi="仿宋_GB2312" w:eastAsia="仿宋_GB2312"/>
          <w:b/>
          <w:color w:val="000000" w:themeColor="text1"/>
          <w:kern w:val="0"/>
          <w:sz w:val="28"/>
          <w:szCs w:val="28"/>
        </w:rPr>
        <w:t>六、供货期限、付款方式</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华文中宋" w:eastAsia="仿宋_GB2312"/>
          <w:color w:val="000000" w:themeColor="text1"/>
          <w:sz w:val="28"/>
          <w:szCs w:val="28"/>
        </w:rPr>
      </w:pPr>
      <w:r>
        <w:rPr>
          <w:rFonts w:hint="eastAsia" w:ascii="仿宋_GB2312" w:hAnsi="仿宋_GB2312" w:eastAsia="仿宋_GB2312"/>
          <w:color w:val="000000" w:themeColor="text1"/>
          <w:sz w:val="28"/>
          <w:szCs w:val="28"/>
        </w:rPr>
        <w:t>签订合同后即时提供服务，所需车辆中标供应商须送至医院指定地点。根据实际发生金额按月汇总支付，中标供应商所</w:t>
      </w:r>
      <w:r>
        <w:rPr>
          <w:rFonts w:hint="eastAsia" w:ascii="仿宋_GB2312" w:hAnsi="华文中宋" w:eastAsia="仿宋_GB2312"/>
          <w:color w:val="000000" w:themeColor="text1"/>
          <w:sz w:val="28"/>
          <w:szCs w:val="28"/>
        </w:rPr>
        <w:t>提供服务经院方验收合格且收到供应商提供的合法税务发票后一个月内以转账方式</w:t>
      </w:r>
      <w:r>
        <w:rPr>
          <w:rFonts w:hint="eastAsia" w:ascii="仿宋_GB2312" w:hAnsi="仿宋_GB2312" w:eastAsia="仿宋_GB2312"/>
          <w:color w:val="000000" w:themeColor="text1"/>
          <w:sz w:val="28"/>
          <w:szCs w:val="28"/>
        </w:rPr>
        <w:t>支付</w:t>
      </w:r>
      <w:r>
        <w:rPr>
          <w:rFonts w:hint="eastAsia" w:ascii="仿宋_GB2312" w:hAnsi="华文中宋" w:eastAsia="仿宋_GB2312"/>
          <w:color w:val="000000" w:themeColor="text1"/>
          <w:sz w:val="28"/>
          <w:szCs w:val="28"/>
        </w:rPr>
        <w:t>款项。</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2" w:firstLineChars="200"/>
        <w:textAlignment w:val="auto"/>
        <w:outlineLvl w:val="9"/>
        <w:rPr>
          <w:rFonts w:ascii="仿宋_GB2312" w:hAnsi="仿宋_GB2312" w:eastAsia="仿宋_GB2312"/>
          <w:b/>
          <w:color w:val="000000" w:themeColor="text1"/>
          <w:kern w:val="0"/>
          <w:sz w:val="28"/>
          <w:szCs w:val="28"/>
        </w:rPr>
      </w:pPr>
      <w:r>
        <w:rPr>
          <w:rFonts w:hint="eastAsia" w:ascii="仿宋_GB2312" w:hAnsi="华文中宋" w:eastAsia="仿宋_GB2312"/>
          <w:b/>
          <w:color w:val="000000" w:themeColor="text1"/>
          <w:sz w:val="28"/>
          <w:szCs w:val="28"/>
        </w:rPr>
        <w:t>七、</w:t>
      </w:r>
      <w:r>
        <w:rPr>
          <w:rFonts w:hint="eastAsia" w:ascii="仿宋_GB2312" w:hAnsi="仿宋_GB2312" w:eastAsia="仿宋_GB2312"/>
          <w:b/>
          <w:color w:val="000000" w:themeColor="text1"/>
          <w:kern w:val="0"/>
          <w:sz w:val="28"/>
          <w:szCs w:val="28"/>
        </w:rPr>
        <w:t>标书内容（加盖公章）</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jc w:val="left"/>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1、报价表（</w:t>
      </w:r>
      <w:r>
        <w:rPr>
          <w:rFonts w:hint="eastAsia" w:ascii="仿宋_GB2312" w:hAnsi="华文中宋" w:eastAsia="仿宋_GB2312"/>
          <w:color w:val="000000" w:themeColor="text1"/>
          <w:sz w:val="28"/>
          <w:szCs w:val="28"/>
          <w:lang w:eastAsia="zh-CN"/>
        </w:rPr>
        <w:t>详见</w:t>
      </w:r>
      <w:r>
        <w:rPr>
          <w:rFonts w:hint="eastAsia" w:ascii="仿宋_GB2312" w:hAnsi="华文中宋" w:eastAsia="仿宋_GB2312"/>
          <w:color w:val="000000" w:themeColor="text1"/>
          <w:sz w:val="28"/>
          <w:szCs w:val="28"/>
        </w:rPr>
        <w:t>附件二：租车服务报价表进行分项填写），报价中应包含运费、税费等以及国家规定的各项费用。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2、公司营业执照及有关资质证明材料等。企业法人营业执照复印件、法人代表身份证复印件、</w:t>
      </w:r>
      <w:r>
        <w:rPr>
          <w:rFonts w:hint="eastAsia" w:ascii="仿宋_GB2312" w:hAnsi="华文中宋" w:eastAsia="仿宋_GB2312"/>
          <w:color w:val="000000" w:themeColor="text1"/>
          <w:sz w:val="28"/>
          <w:szCs w:val="28"/>
          <w:lang w:eastAsia="zh-CN"/>
        </w:rPr>
        <w:t>被</w:t>
      </w:r>
      <w:r>
        <w:rPr>
          <w:rFonts w:hint="eastAsia" w:ascii="仿宋_GB2312" w:hAnsi="华文中宋" w:eastAsia="仿宋_GB2312"/>
          <w:color w:val="000000" w:themeColor="text1"/>
          <w:sz w:val="28"/>
          <w:szCs w:val="28"/>
        </w:rPr>
        <w:t>授权人身份证复印件及授权书等；与业绩复印件或中标通知书复印件等。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仿宋_GB2312" w:eastAsia="仿宋_GB2312"/>
          <w:color w:val="000000" w:themeColor="text1"/>
          <w:sz w:val="28"/>
          <w:szCs w:val="28"/>
        </w:rPr>
      </w:pPr>
      <w:r>
        <w:rPr>
          <w:rFonts w:hint="eastAsia" w:ascii="仿宋_GB2312" w:hAnsi="华文中宋" w:eastAsia="仿宋_GB2312"/>
          <w:color w:val="000000" w:themeColor="text1"/>
          <w:sz w:val="28"/>
          <w:szCs w:val="28"/>
        </w:rPr>
        <w:t>3、</w:t>
      </w:r>
      <w:r>
        <w:rPr>
          <w:rFonts w:hint="eastAsia" w:ascii="仿宋_GB2312" w:hAnsi="仿宋_GB2312" w:eastAsia="仿宋_GB2312"/>
          <w:color w:val="000000" w:themeColor="text1"/>
          <w:sz w:val="28"/>
          <w:szCs w:val="28"/>
        </w:rPr>
        <w:t>近三年经营活动中无重大违法记录的书面声明。</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华文中宋" w:eastAsia="仿宋_GB2312"/>
          <w:color w:val="000000" w:themeColor="text1"/>
          <w:sz w:val="28"/>
          <w:szCs w:val="28"/>
        </w:rPr>
      </w:pPr>
      <w:r>
        <w:rPr>
          <w:rFonts w:hint="eastAsia" w:ascii="仿宋_GB2312" w:hAnsi="仿宋_GB2312" w:eastAsia="仿宋_GB2312"/>
          <w:color w:val="000000" w:themeColor="text1"/>
          <w:sz w:val="28"/>
          <w:szCs w:val="28"/>
        </w:rPr>
        <w:t>4、</w:t>
      </w:r>
      <w:r>
        <w:rPr>
          <w:rFonts w:hint="eastAsia" w:ascii="仿宋_GB2312" w:hAnsi="华文中宋" w:eastAsia="仿宋_GB2312"/>
          <w:color w:val="000000" w:themeColor="text1"/>
          <w:sz w:val="28"/>
          <w:szCs w:val="28"/>
        </w:rPr>
        <w:t>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5、投标书（包括相关资料）落款处应加盖投标单位印章和法人代表签字</w:t>
      </w:r>
      <w:r>
        <w:rPr>
          <w:rFonts w:hint="eastAsia" w:ascii="仿宋_GB2312" w:hAnsi="仿宋_GB2312" w:eastAsia="仿宋_GB2312"/>
          <w:color w:val="000000" w:themeColor="text1"/>
          <w:kern w:val="0"/>
          <w:sz w:val="28"/>
          <w:szCs w:val="28"/>
        </w:rPr>
        <w:t>（或盖章）</w:t>
      </w:r>
      <w:r>
        <w:rPr>
          <w:rFonts w:hint="eastAsia" w:ascii="仿宋_GB2312" w:hAnsi="华文中宋" w:eastAsia="仿宋_GB2312"/>
          <w:color w:val="000000" w:themeColor="text1"/>
          <w:sz w:val="28"/>
          <w:szCs w:val="28"/>
        </w:rPr>
        <w:t>。</w:t>
      </w:r>
      <w:r>
        <w:rPr>
          <w:rFonts w:hint="eastAsia" w:ascii="仿宋_GB2312" w:hAnsi="仿宋_GB2312" w:eastAsia="仿宋_GB2312"/>
          <w:bCs/>
          <w:color w:val="000000" w:themeColor="text1"/>
          <w:kern w:val="0"/>
          <w:sz w:val="28"/>
          <w:szCs w:val="28"/>
        </w:rPr>
        <w:t>投标书一式两份（一正一副），必须胶装成册,不接受散页、活页或未胶装成册的投标文件,并装袋密封，封口应加盖投标单位印章，否则作废标处理。</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2" w:firstLineChars="200"/>
        <w:textAlignment w:val="auto"/>
        <w:outlineLvl w:val="9"/>
        <w:rPr>
          <w:rFonts w:ascii="仿宋_GB2312" w:hAnsi="仿宋_GB2312" w:eastAsia="仿宋_GB2312"/>
          <w:b/>
          <w:color w:val="000000" w:themeColor="text1"/>
          <w:kern w:val="0"/>
          <w:sz w:val="28"/>
          <w:szCs w:val="28"/>
        </w:rPr>
      </w:pPr>
      <w:r>
        <w:rPr>
          <w:rFonts w:hint="eastAsia" w:ascii="仿宋_GB2312" w:hAnsi="仿宋_GB2312" w:eastAsia="仿宋_GB2312"/>
          <w:b/>
          <w:color w:val="000000" w:themeColor="text1"/>
          <w:kern w:val="0"/>
          <w:sz w:val="28"/>
          <w:szCs w:val="28"/>
        </w:rPr>
        <w:t>八、评标办法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eastAsia="仿宋_GB2312"/>
          <w:color w:val="000000" w:themeColor="text1"/>
          <w:sz w:val="28"/>
          <w:szCs w:val="28"/>
        </w:rPr>
      </w:pPr>
      <w:r>
        <w:rPr>
          <w:rFonts w:hint="eastAsia" w:ascii="仿宋_GB2312" w:hAnsi="仿宋_GB2312" w:eastAsia="仿宋_GB2312"/>
          <w:bCs/>
          <w:color w:val="000000" w:themeColor="text1"/>
          <w:kern w:val="0"/>
          <w:sz w:val="28"/>
          <w:szCs w:val="28"/>
        </w:rPr>
        <w:t>报价采用</w:t>
      </w:r>
      <w:r>
        <w:rPr>
          <w:rFonts w:hint="eastAsia" w:ascii="仿宋_GB2312" w:hAnsi="仿宋_GB2312" w:eastAsia="仿宋_GB2312"/>
          <w:bCs/>
          <w:color w:val="000000" w:themeColor="text1"/>
          <w:kern w:val="0"/>
          <w:sz w:val="28"/>
          <w:szCs w:val="28"/>
          <w:lang w:eastAsia="zh-CN"/>
        </w:rPr>
        <w:t>按</w:t>
      </w:r>
      <w:r>
        <w:rPr>
          <w:rFonts w:hint="eastAsia" w:ascii="仿宋_GB2312" w:hAnsi="仿宋_GB2312" w:eastAsia="仿宋_GB2312"/>
          <w:bCs/>
          <w:color w:val="000000" w:themeColor="text1"/>
          <w:kern w:val="0"/>
          <w:sz w:val="28"/>
          <w:szCs w:val="28"/>
        </w:rPr>
        <w:t>附件一</w:t>
      </w:r>
      <w:r>
        <w:rPr>
          <w:rFonts w:hint="eastAsia" w:ascii="仿宋_GB2312" w:hAnsi="仿宋_GB2312" w:eastAsia="仿宋_GB2312"/>
          <w:bCs/>
          <w:color w:val="000000" w:themeColor="text1"/>
          <w:kern w:val="0"/>
          <w:sz w:val="28"/>
          <w:szCs w:val="28"/>
          <w:lang w:eastAsia="zh-CN"/>
        </w:rPr>
        <w:t>（</w:t>
      </w:r>
      <w:r>
        <w:rPr>
          <w:rFonts w:hint="eastAsia" w:ascii="仿宋_GB2312" w:hAnsi="仿宋_GB2312" w:eastAsia="仿宋_GB2312"/>
          <w:bCs/>
          <w:color w:val="000000" w:themeColor="text1"/>
          <w:kern w:val="0"/>
          <w:sz w:val="28"/>
          <w:szCs w:val="28"/>
        </w:rPr>
        <w:t>租车服务限价表</w:t>
      </w:r>
      <w:r>
        <w:rPr>
          <w:rFonts w:hint="eastAsia" w:ascii="仿宋_GB2312" w:hAnsi="仿宋_GB2312" w:eastAsia="仿宋_GB2312"/>
          <w:bCs/>
          <w:color w:val="000000" w:themeColor="text1"/>
          <w:kern w:val="0"/>
          <w:sz w:val="28"/>
          <w:szCs w:val="28"/>
          <w:lang w:eastAsia="zh-CN"/>
        </w:rPr>
        <w:t>）</w:t>
      </w:r>
      <w:r>
        <w:rPr>
          <w:rFonts w:hint="eastAsia" w:ascii="仿宋_GB2312" w:hAnsi="仿宋_GB2312" w:eastAsia="仿宋_GB2312"/>
          <w:bCs/>
          <w:color w:val="000000" w:themeColor="text1"/>
          <w:kern w:val="0"/>
          <w:sz w:val="28"/>
          <w:szCs w:val="28"/>
        </w:rPr>
        <w:t>中的限价整体折扣率报价方式报价，且不得高于附件一（租车服务限价表）中的限价，响应投标单位可以提交二次报价，二次报价</w:t>
      </w:r>
      <w:r>
        <w:rPr>
          <w:rFonts w:hint="eastAsia" w:ascii="仿宋_GB2312" w:hAnsi="华文中宋" w:eastAsia="仿宋_GB2312"/>
          <w:color w:val="000000" w:themeColor="text1"/>
          <w:sz w:val="28"/>
          <w:szCs w:val="28"/>
        </w:rPr>
        <w:t>不得高于一次报价，有效标内报价最低者为第一中标候选人。</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2" w:firstLineChars="200"/>
        <w:textAlignment w:val="auto"/>
        <w:outlineLvl w:val="9"/>
        <w:rPr>
          <w:rFonts w:ascii="仿宋_GB2312" w:hAnsi="仿宋_GB2312" w:eastAsia="仿宋_GB2312"/>
          <w:b/>
          <w:color w:val="000000" w:themeColor="text1"/>
          <w:kern w:val="0"/>
          <w:sz w:val="28"/>
          <w:szCs w:val="28"/>
        </w:rPr>
      </w:pPr>
      <w:r>
        <w:rPr>
          <w:rFonts w:hint="eastAsia" w:ascii="仿宋_GB2312" w:hAnsi="仿宋_GB2312" w:eastAsia="仿宋_GB2312"/>
          <w:b/>
          <w:color w:val="000000" w:themeColor="text1"/>
          <w:kern w:val="0"/>
          <w:sz w:val="28"/>
          <w:szCs w:val="28"/>
        </w:rPr>
        <w:t>九、其他说明</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firstLine="560" w:firstLineChars="20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1、</w:t>
      </w:r>
      <w:r>
        <w:rPr>
          <w:rFonts w:hint="eastAsia" w:ascii="仿宋_GB2312" w:hAnsi="华文中宋" w:eastAsia="仿宋_GB2312"/>
          <w:bCs/>
          <w:color w:val="000000" w:themeColor="text1"/>
          <w:sz w:val="28"/>
          <w:szCs w:val="28"/>
        </w:rPr>
        <w:t>投标保证金1200元</w:t>
      </w:r>
      <w:r>
        <w:rPr>
          <w:rFonts w:hint="eastAsia" w:ascii="仿宋_GB2312" w:hAnsi="华文中宋" w:eastAsia="仿宋_GB2312"/>
          <w:color w:val="000000" w:themeColor="text1"/>
          <w:sz w:val="28"/>
          <w:szCs w:val="28"/>
        </w:rPr>
        <w:t>，一次性足额缴纳，由投标单位的基本账户转入医院的指定帐户（单位名称:赣州市人民医院；账号:1510220109026473030；开户银行:工商银行赣州市虔城支行），须在</w:t>
      </w:r>
      <w:r>
        <w:rPr>
          <w:rFonts w:hint="eastAsia" w:ascii="仿宋_GB2312" w:hAnsi="华文中宋" w:eastAsia="仿宋_GB2312"/>
          <w:b w:val="0"/>
          <w:bCs w:val="0"/>
          <w:color w:val="auto"/>
          <w:sz w:val="28"/>
          <w:szCs w:val="28"/>
        </w:rPr>
        <w:t>开标</w:t>
      </w:r>
      <w:r>
        <w:rPr>
          <w:rFonts w:hint="eastAsia" w:ascii="仿宋_GB2312" w:hAnsi="华文中宋" w:eastAsia="仿宋_GB2312"/>
          <w:b w:val="0"/>
          <w:bCs w:val="0"/>
          <w:color w:val="auto"/>
          <w:sz w:val="28"/>
          <w:szCs w:val="28"/>
          <w:lang w:eastAsia="zh-CN"/>
        </w:rPr>
        <w:t>当天上午</w:t>
      </w:r>
      <w:r>
        <w:rPr>
          <w:rFonts w:hint="eastAsia" w:ascii="仿宋_GB2312" w:hAnsi="华文中宋" w:eastAsia="仿宋_GB2312"/>
          <w:b w:val="0"/>
          <w:bCs w:val="0"/>
          <w:color w:val="auto"/>
          <w:sz w:val="28"/>
          <w:szCs w:val="28"/>
          <w:lang w:val="en-US" w:eastAsia="zh-CN"/>
        </w:rPr>
        <w:t>8：00</w:t>
      </w:r>
      <w:r>
        <w:rPr>
          <w:rFonts w:hint="eastAsia" w:ascii="仿宋_GB2312" w:hAnsi="华文中宋" w:eastAsia="仿宋_GB2312"/>
          <w:b w:val="0"/>
          <w:bCs w:val="0"/>
          <w:color w:val="auto"/>
          <w:sz w:val="28"/>
          <w:szCs w:val="28"/>
        </w:rPr>
        <w:t>前到</w:t>
      </w:r>
      <w:r>
        <w:rPr>
          <w:rFonts w:hint="eastAsia" w:ascii="仿宋_GB2312" w:hAnsi="华文中宋" w:eastAsia="仿宋_GB2312"/>
          <w:color w:val="000000" w:themeColor="text1"/>
          <w:sz w:val="28"/>
          <w:szCs w:val="28"/>
        </w:rPr>
        <w:t>账</w:t>
      </w:r>
      <w:r>
        <w:rPr>
          <w:rFonts w:hint="eastAsia" w:ascii="仿宋_GB2312" w:eastAsia="仿宋_GB2312"/>
          <w:color w:val="000000" w:themeColor="text1"/>
          <w:sz w:val="28"/>
          <w:szCs w:val="28"/>
        </w:rPr>
        <w:t>（北京时间）前到账，否则响应无效。</w:t>
      </w:r>
      <w:r>
        <w:rPr>
          <w:rFonts w:hint="eastAsia" w:ascii="仿宋_GB2312" w:hAnsi="华文中宋" w:eastAsia="仿宋_GB2312"/>
          <w:bCs/>
          <w:color w:val="000000" w:themeColor="text1"/>
          <w:sz w:val="28"/>
          <w:szCs w:val="28"/>
        </w:rPr>
        <w:t>开标时递交缴纳投标保证金银行回单复印件或打印的电子回单</w:t>
      </w:r>
      <w:r>
        <w:rPr>
          <w:rFonts w:hint="eastAsia" w:ascii="仿宋_GB2312" w:hAnsi="华文中宋" w:eastAsia="仿宋_GB2312"/>
          <w:color w:val="000000" w:themeColor="text1"/>
          <w:sz w:val="28"/>
          <w:szCs w:val="28"/>
        </w:rPr>
        <w:t>。若未中标,在中标通知书发出后5个工作日内</w:t>
      </w:r>
      <w:r>
        <w:rPr>
          <w:rFonts w:hint="eastAsia" w:ascii="仿宋_GB2312" w:hAnsi="华文中宋" w:eastAsia="仿宋_GB2312"/>
          <w:color w:val="000000" w:themeColor="text1"/>
          <w:sz w:val="28"/>
          <w:szCs w:val="28"/>
          <w:lang w:eastAsia="zh-CN"/>
        </w:rPr>
        <w:t>不计</w:t>
      </w:r>
      <w:r>
        <w:rPr>
          <w:rFonts w:hint="eastAsia" w:ascii="仿宋_GB2312" w:hAnsi="华文中宋" w:eastAsia="仿宋_GB2312"/>
          <w:color w:val="000000" w:themeColor="text1"/>
          <w:sz w:val="28"/>
          <w:szCs w:val="28"/>
        </w:rPr>
        <w:t>息退还投标保证金；如中标则转为履约保证金，履约保证金为中标价的10%（不足部分需补齐），项目终止之日起三十个工作日内予以</w:t>
      </w:r>
      <w:r>
        <w:rPr>
          <w:rFonts w:hint="eastAsia" w:ascii="仿宋_GB2312" w:hAnsi="华文中宋" w:eastAsia="仿宋_GB2312"/>
          <w:color w:val="000000" w:themeColor="text1"/>
          <w:sz w:val="28"/>
          <w:szCs w:val="28"/>
          <w:lang w:eastAsia="zh-CN"/>
        </w:rPr>
        <w:t>不计</w:t>
      </w:r>
      <w:r>
        <w:rPr>
          <w:rFonts w:hint="eastAsia" w:ascii="仿宋_GB2312" w:hAnsi="华文中宋" w:eastAsia="仿宋_GB2312"/>
          <w:color w:val="000000" w:themeColor="text1"/>
          <w:sz w:val="28"/>
          <w:szCs w:val="28"/>
        </w:rPr>
        <w:t>息退还。</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 xml:space="preserve">   2、中标单位在接中标通知后三个工作日内到总务科签订合同。</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435"/>
        <w:textAlignment w:val="auto"/>
        <w:outlineLvl w:val="9"/>
        <w:rPr>
          <w:rFonts w:ascii="仿宋_GB2312" w:eastAsia="仿宋_GB2312"/>
          <w:color w:val="000000" w:themeColor="text1"/>
          <w:sz w:val="28"/>
          <w:szCs w:val="28"/>
        </w:rPr>
      </w:pPr>
      <w:r>
        <w:rPr>
          <w:rFonts w:hint="eastAsia" w:ascii="仿宋_GB2312" w:eastAsia="仿宋_GB2312"/>
          <w:color w:val="000000" w:themeColor="text1"/>
          <w:sz w:val="28"/>
          <w:szCs w:val="28"/>
        </w:rPr>
        <w:t>中标单位中标后不得转标，否则，取消中标资格。</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435"/>
        <w:textAlignment w:val="auto"/>
        <w:outlineLvl w:val="9"/>
        <w:rPr>
          <w:rFonts w:ascii="仿宋_GB2312" w:eastAsia="仿宋_GB2312"/>
          <w:color w:val="000000" w:themeColor="text1"/>
          <w:sz w:val="28"/>
          <w:szCs w:val="28"/>
        </w:rPr>
      </w:pPr>
      <w:r>
        <w:rPr>
          <w:rFonts w:hint="eastAsia" w:ascii="仿宋_GB2312" w:eastAsia="仿宋_GB2312"/>
          <w:color w:val="000000" w:themeColor="text1"/>
          <w:sz w:val="28"/>
          <w:szCs w:val="28"/>
        </w:rPr>
        <w:t>开标时间：</w:t>
      </w:r>
      <w:r>
        <w:rPr>
          <w:rFonts w:hint="eastAsia" w:ascii="仿宋_GB2312" w:eastAsia="仿宋_GB2312"/>
          <w:color w:val="000000" w:themeColor="text1"/>
          <w:sz w:val="28"/>
          <w:szCs w:val="28"/>
          <w:lang w:val="en-US" w:eastAsia="zh-CN"/>
        </w:rPr>
        <w:t>2018</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12</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28</w:t>
      </w:r>
      <w:bookmarkStart w:id="0" w:name="_GoBack"/>
      <w:bookmarkEnd w:id="0"/>
      <w:r>
        <w:rPr>
          <w:rFonts w:hint="eastAsia" w:ascii="仿宋_GB2312" w:eastAsia="仿宋_GB2312"/>
          <w:color w:val="000000" w:themeColor="text1"/>
          <w:sz w:val="28"/>
          <w:szCs w:val="28"/>
        </w:rPr>
        <w:t>日下午</w:t>
      </w:r>
      <w:r>
        <w:rPr>
          <w:rFonts w:hint="eastAsia" w:ascii="仿宋_GB2312" w:eastAsia="仿宋_GB2312"/>
          <w:color w:val="000000" w:themeColor="text1"/>
          <w:sz w:val="28"/>
          <w:szCs w:val="28"/>
          <w:lang w:val="en-US" w:eastAsia="zh-CN"/>
        </w:rPr>
        <w:t>15:30</w:t>
      </w: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435"/>
        <w:textAlignment w:val="auto"/>
        <w:outlineLvl w:val="9"/>
        <w:rPr>
          <w:rFonts w:ascii="仿宋_GB2312" w:hAnsi="华文中宋" w:eastAsia="仿宋_GB2312"/>
          <w:color w:val="000000" w:themeColor="text1"/>
          <w:sz w:val="28"/>
          <w:szCs w:val="28"/>
        </w:rPr>
      </w:pPr>
      <w:r>
        <w:rPr>
          <w:rFonts w:hint="eastAsia" w:ascii="仿宋_GB2312" w:eastAsia="仿宋_GB2312"/>
          <w:color w:val="000000" w:themeColor="text1"/>
          <w:sz w:val="28"/>
          <w:szCs w:val="28"/>
        </w:rPr>
        <w:t>开标地点：赣州市人民医院南院行政楼2楼4号会议室</w:t>
      </w: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 xml:space="preserve">                                         赣州市人民医院</w:t>
      </w:r>
    </w:p>
    <w:p>
      <w:pPr>
        <w:keepNext w:val="0"/>
        <w:keepLines w:val="0"/>
        <w:pageBreakBefore w:val="0"/>
        <w:kinsoku/>
        <w:wordWrap/>
        <w:overflowPunct/>
        <w:topLinePunct w:val="0"/>
        <w:autoSpaceDE/>
        <w:autoSpaceDN/>
        <w:bidi w:val="0"/>
        <w:adjustRightInd/>
        <w:snapToGrid/>
        <w:spacing w:line="480" w:lineRule="exact"/>
        <w:ind w:left="0" w:leftChars="0" w:firstLine="5600" w:firstLineChars="2000"/>
        <w:textAlignment w:val="auto"/>
        <w:outlineLvl w:val="9"/>
        <w:rPr>
          <w:rFonts w:ascii="仿宋_GB2312" w:hAnsi="华文中宋" w:eastAsia="仿宋_GB2312"/>
          <w:color w:val="000000" w:themeColor="text1"/>
          <w:sz w:val="28"/>
          <w:szCs w:val="28"/>
        </w:rPr>
      </w:pPr>
      <w:r>
        <w:rPr>
          <w:rFonts w:hint="eastAsia" w:ascii="仿宋_GB2312" w:hAnsi="华文中宋" w:eastAsia="仿宋_GB2312"/>
          <w:color w:val="000000" w:themeColor="text1"/>
          <w:sz w:val="28"/>
          <w:szCs w:val="28"/>
        </w:rPr>
        <w:t>2018年12月</w:t>
      </w:r>
      <w:r>
        <w:rPr>
          <w:rFonts w:hint="eastAsia" w:ascii="仿宋_GB2312" w:hAnsi="华文中宋" w:eastAsia="仿宋_GB2312"/>
          <w:color w:val="000000" w:themeColor="text1"/>
          <w:sz w:val="28"/>
          <w:szCs w:val="28"/>
          <w:lang w:val="en-US" w:eastAsia="zh-CN"/>
        </w:rPr>
        <w:t>19</w:t>
      </w:r>
      <w:r>
        <w:rPr>
          <w:rFonts w:hint="eastAsia" w:ascii="仿宋_GB2312" w:hAnsi="华文中宋" w:eastAsia="仿宋_GB2312"/>
          <w:color w:val="000000" w:themeColor="text1"/>
          <w:sz w:val="28"/>
          <w:szCs w:val="28"/>
        </w:rPr>
        <w:t>日</w:t>
      </w: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仿宋_GB2312" w:hAnsi="华文中宋" w:eastAsia="仿宋_GB2312"/>
          <w:color w:val="000000" w:themeColor="text1"/>
          <w:sz w:val="28"/>
          <w:szCs w:val="28"/>
        </w:rPr>
      </w:pPr>
    </w:p>
    <w:p>
      <w:pPr>
        <w:keepNext w:val="0"/>
        <w:keepLines w:val="0"/>
        <w:pageBreakBefore w:val="0"/>
        <w:widowControl/>
        <w:kinsoku/>
        <w:wordWrap/>
        <w:overflowPunct/>
        <w:topLinePunct w:val="0"/>
        <w:autoSpaceDE/>
        <w:autoSpaceDN/>
        <w:bidi w:val="0"/>
        <w:adjustRightInd/>
        <w:snapToGrid/>
        <w:spacing w:line="480" w:lineRule="exact"/>
        <w:ind w:left="0" w:leftChars="0"/>
        <w:jc w:val="left"/>
        <w:textAlignment w:val="auto"/>
        <w:outlineLvl w:val="9"/>
        <w:rPr>
          <w:rFonts w:ascii="仿宋_GB2312" w:hAnsi="华文中宋" w:eastAsia="仿宋_GB2312"/>
          <w:color w:val="000000" w:themeColor="text1"/>
          <w:sz w:val="28"/>
          <w:szCs w:val="28"/>
        </w:rPr>
        <w:sectPr>
          <w:headerReference r:id="rId3" w:type="default"/>
          <w:footerReference r:id="rId5" w:type="default"/>
          <w:headerReference r:id="rId4" w:type="even"/>
          <w:pgSz w:w="11906" w:h="16838"/>
          <w:pgMar w:top="1440" w:right="1797" w:bottom="1440" w:left="1797" w:header="851" w:footer="992" w:gutter="0"/>
          <w:cols w:space="425" w:num="1"/>
          <w:docGrid w:type="lines" w:linePitch="312" w:charSpace="0"/>
        </w:sectPr>
      </w:pPr>
    </w:p>
    <w:tbl>
      <w:tblPr>
        <w:tblStyle w:val="7"/>
        <w:tblW w:w="13907" w:type="dxa"/>
        <w:tblInd w:w="93" w:type="dxa"/>
        <w:tblLayout w:type="fixed"/>
        <w:tblCellMar>
          <w:top w:w="0" w:type="dxa"/>
          <w:left w:w="108" w:type="dxa"/>
          <w:bottom w:w="0" w:type="dxa"/>
          <w:right w:w="108" w:type="dxa"/>
        </w:tblCellMar>
      </w:tblPr>
      <w:tblGrid>
        <w:gridCol w:w="866"/>
        <w:gridCol w:w="1276"/>
        <w:gridCol w:w="1134"/>
        <w:gridCol w:w="1417"/>
        <w:gridCol w:w="2126"/>
        <w:gridCol w:w="1418"/>
        <w:gridCol w:w="1701"/>
        <w:gridCol w:w="1701"/>
        <w:gridCol w:w="2268"/>
      </w:tblGrid>
      <w:tr>
        <w:tblPrEx>
          <w:tblLayout w:type="fixed"/>
          <w:tblCellMar>
            <w:top w:w="0" w:type="dxa"/>
            <w:left w:w="108" w:type="dxa"/>
            <w:bottom w:w="0" w:type="dxa"/>
            <w:right w:w="108" w:type="dxa"/>
          </w:tblCellMar>
        </w:tblPrEx>
        <w:trPr>
          <w:trHeight w:val="285" w:hRule="atLeast"/>
        </w:trPr>
        <w:tc>
          <w:tcPr>
            <w:tcW w:w="13907" w:type="dxa"/>
            <w:gridSpan w:val="9"/>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r>
              <w:rPr>
                <w:rFonts w:hint="eastAsia" w:ascii="仿宋_GB2312" w:hAnsi="华文中宋" w:eastAsia="仿宋_GB2312"/>
                <w:b/>
                <w:color w:val="000000" w:themeColor="text1"/>
                <w:sz w:val="28"/>
                <w:szCs w:val="28"/>
              </w:rPr>
              <w:t>附件一：租车服务限价表</w:t>
            </w:r>
          </w:p>
        </w:tc>
      </w:tr>
      <w:tr>
        <w:tblPrEx>
          <w:tblLayout w:type="fixed"/>
          <w:tblCellMar>
            <w:top w:w="0" w:type="dxa"/>
            <w:left w:w="108" w:type="dxa"/>
            <w:bottom w:w="0" w:type="dxa"/>
            <w:right w:w="108" w:type="dxa"/>
          </w:tblCellMar>
        </w:tblPrEx>
        <w:trPr>
          <w:trHeight w:val="285" w:hRule="atLeast"/>
        </w:trPr>
        <w:tc>
          <w:tcPr>
            <w:tcW w:w="13907" w:type="dxa"/>
            <w:gridSpan w:val="9"/>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表一</w:t>
            </w:r>
          </w:p>
        </w:tc>
      </w:tr>
      <w:tr>
        <w:tblPrEx>
          <w:tblLayout w:type="fixed"/>
          <w:tblCellMar>
            <w:top w:w="0" w:type="dxa"/>
            <w:left w:w="108" w:type="dxa"/>
            <w:bottom w:w="0" w:type="dxa"/>
            <w:right w:w="108" w:type="dxa"/>
          </w:tblCellMar>
        </w:tblPrEx>
        <w:trPr>
          <w:trHeight w:val="285"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车辆类型</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座位数</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排量（功率）</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包车服务/天</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市区用车/趟</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57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租金</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（不含司机费用）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司机费用</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基础价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里程价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(元/公里)</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小车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≥2.0L</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360.00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180.00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1.00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含1.8T以上排量</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≥2.4L</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540.00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270.00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1.50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商务车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≥2.0L</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720.00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270.00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1.50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285" w:hRule="atLeast"/>
        </w:trPr>
        <w:tc>
          <w:tcPr>
            <w:tcW w:w="86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27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134"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417"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4"/>
                <w:szCs w:val="24"/>
              </w:rPr>
            </w:pPr>
          </w:p>
        </w:tc>
        <w:tc>
          <w:tcPr>
            <w:tcW w:w="21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41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1701"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c>
          <w:tcPr>
            <w:tcW w:w="22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13907" w:type="dxa"/>
            <w:gridSpan w:val="9"/>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表二</w:t>
            </w:r>
          </w:p>
        </w:tc>
      </w:tr>
      <w:tr>
        <w:tblPrEx>
          <w:tblLayout w:type="fixed"/>
          <w:tblCellMar>
            <w:top w:w="0" w:type="dxa"/>
            <w:left w:w="108" w:type="dxa"/>
            <w:bottom w:w="0" w:type="dxa"/>
            <w:right w:w="108" w:type="dxa"/>
          </w:tblCellMar>
        </w:tblPrEx>
        <w:trPr>
          <w:trHeight w:val="375"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车辆类型</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座位数</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排量（功率）</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包车服务/天</w:t>
            </w:r>
          </w:p>
        </w:tc>
        <w:tc>
          <w:tcPr>
            <w:tcW w:w="34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市区用车/趟</w:t>
            </w:r>
          </w:p>
        </w:tc>
        <w:tc>
          <w:tcPr>
            <w:tcW w:w="22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57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租金（含司机费用）</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基础价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里程价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（元/公里）</w:t>
            </w: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≥2.4L</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720.00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270.00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1.50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20-23</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≥2.7L</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1170.00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630.00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1.50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35+2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≥270</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1100.00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500.00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3.00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功率：马力</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≥330</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1200.00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600.00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3.00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功率：马力</w:t>
            </w:r>
          </w:p>
        </w:tc>
      </w:tr>
      <w:tr>
        <w:tblPrEx>
          <w:tblLayout w:type="fixed"/>
          <w:tblCellMar>
            <w:top w:w="0" w:type="dxa"/>
            <w:left w:w="108" w:type="dxa"/>
            <w:bottom w:w="0" w:type="dxa"/>
            <w:right w:w="108" w:type="dxa"/>
          </w:tblCellMar>
        </w:tblPrEx>
        <w:trPr>
          <w:trHeight w:val="285" w:hRule="atLeast"/>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大巴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53+2</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≥330</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1300.00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700.00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3.00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功率：马力</w:t>
            </w:r>
          </w:p>
        </w:tc>
      </w:tr>
    </w:tbl>
    <w:p>
      <w:pPr>
        <w:widowControl/>
        <w:jc w:val="left"/>
        <w:rPr>
          <w:rFonts w:ascii="仿宋_GB2312" w:hAnsi="华文中宋" w:eastAsia="仿宋_GB2312"/>
          <w:color w:val="000000" w:themeColor="text1"/>
          <w:sz w:val="28"/>
          <w:szCs w:val="28"/>
        </w:rPr>
      </w:pPr>
    </w:p>
    <w:p>
      <w:pPr>
        <w:widowControl/>
        <w:jc w:val="left"/>
        <w:rPr>
          <w:rFonts w:ascii="仿宋_GB2312" w:hAnsi="华文中宋" w:eastAsia="仿宋_GB2312"/>
          <w:color w:val="000000" w:themeColor="text1"/>
          <w:sz w:val="28"/>
          <w:szCs w:val="28"/>
        </w:rPr>
      </w:pPr>
    </w:p>
    <w:p>
      <w:pPr>
        <w:widowControl/>
        <w:jc w:val="left"/>
        <w:rPr>
          <w:rFonts w:ascii="仿宋_GB2312" w:hAnsi="华文中宋" w:eastAsia="仿宋_GB2312"/>
          <w:color w:val="000000" w:themeColor="text1"/>
          <w:sz w:val="28"/>
          <w:szCs w:val="28"/>
        </w:rPr>
      </w:pPr>
    </w:p>
    <w:p>
      <w:pPr>
        <w:widowControl/>
        <w:jc w:val="left"/>
        <w:rPr>
          <w:rFonts w:ascii="仿宋_GB2312" w:hAnsi="华文中宋" w:eastAsia="仿宋_GB2312"/>
          <w:b/>
          <w:color w:val="000000" w:themeColor="text1"/>
          <w:sz w:val="28"/>
          <w:szCs w:val="28"/>
        </w:rPr>
      </w:pPr>
      <w:r>
        <w:rPr>
          <w:rFonts w:hint="eastAsia" w:ascii="仿宋_GB2312" w:hAnsi="华文中宋" w:eastAsia="仿宋_GB2312"/>
          <w:b/>
          <w:color w:val="000000" w:themeColor="text1"/>
          <w:sz w:val="28"/>
          <w:szCs w:val="28"/>
        </w:rPr>
        <w:t>附件二：租车服务报价表</w:t>
      </w:r>
    </w:p>
    <w:tbl>
      <w:tblPr>
        <w:tblStyle w:val="7"/>
        <w:tblW w:w="10600" w:type="dxa"/>
        <w:tblInd w:w="93" w:type="dxa"/>
        <w:tblLayout w:type="fixed"/>
        <w:tblCellMar>
          <w:top w:w="0" w:type="dxa"/>
          <w:left w:w="108" w:type="dxa"/>
          <w:bottom w:w="0" w:type="dxa"/>
          <w:right w:w="108" w:type="dxa"/>
        </w:tblCellMar>
      </w:tblPr>
      <w:tblGrid>
        <w:gridCol w:w="2240"/>
        <w:gridCol w:w="1360"/>
        <w:gridCol w:w="2800"/>
        <w:gridCol w:w="2100"/>
        <w:gridCol w:w="2100"/>
      </w:tblGrid>
      <w:tr>
        <w:tblPrEx>
          <w:tblLayout w:type="fixed"/>
          <w:tblCellMar>
            <w:top w:w="0" w:type="dxa"/>
            <w:left w:w="108" w:type="dxa"/>
            <w:bottom w:w="0" w:type="dxa"/>
            <w:right w:w="108" w:type="dxa"/>
          </w:tblCellMar>
        </w:tblPrEx>
        <w:trPr>
          <w:trHeight w:val="390" w:hRule="atLeast"/>
        </w:trPr>
        <w:tc>
          <w:tcPr>
            <w:tcW w:w="2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车辆类型</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座位数</w:t>
            </w:r>
          </w:p>
        </w:tc>
        <w:tc>
          <w:tcPr>
            <w:tcW w:w="2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品牌/型号</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排量（功率）</w:t>
            </w:r>
          </w:p>
        </w:tc>
        <w:tc>
          <w:tcPr>
            <w:tcW w:w="210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备注</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小车</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≥2.0L</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商务车</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7</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≥2.4L</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商务车</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9</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≥2.0L</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中巴</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≥2.4L</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中巴</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20-23</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≥2.7L</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大巴</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35+2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≥270</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大巴</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45+2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≥330</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大巴</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53+2</w:t>
            </w:r>
          </w:p>
        </w:tc>
        <w:tc>
          <w:tcPr>
            <w:tcW w:w="2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　</w:t>
            </w:r>
          </w:p>
        </w:tc>
        <w:tc>
          <w:tcPr>
            <w:tcW w:w="21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≥330</w:t>
            </w:r>
          </w:p>
        </w:tc>
      </w:tr>
      <w:tr>
        <w:tblPrEx>
          <w:tblLayout w:type="fixed"/>
          <w:tblCellMar>
            <w:top w:w="0" w:type="dxa"/>
            <w:left w:w="108" w:type="dxa"/>
            <w:bottom w:w="0" w:type="dxa"/>
            <w:right w:w="108" w:type="dxa"/>
          </w:tblCellMar>
        </w:tblPrEx>
        <w:trPr>
          <w:trHeight w:val="390" w:hRule="atLeast"/>
        </w:trPr>
        <w:tc>
          <w:tcPr>
            <w:tcW w:w="22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整体折扣率</w:t>
            </w:r>
          </w:p>
        </w:tc>
        <w:tc>
          <w:tcPr>
            <w:tcW w:w="6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　</w:t>
            </w:r>
          </w:p>
        </w:tc>
        <w:tc>
          <w:tcPr>
            <w:tcW w:w="2100" w:type="dxa"/>
            <w:tcBorders>
              <w:top w:val="single" w:color="auto" w:sz="4" w:space="0"/>
              <w:left w:val="nil"/>
              <w:bottom w:val="single" w:color="auto" w:sz="4" w:space="0"/>
              <w:right w:val="single" w:color="auto" w:sz="4" w:space="0"/>
            </w:tcBorders>
          </w:tcPr>
          <w:p>
            <w:pPr>
              <w:widowControl/>
              <w:jc w:val="center"/>
              <w:rPr>
                <w:rFonts w:hint="eastAsia" w:ascii="宋体" w:hAnsi="宋体" w:cs="宋体"/>
                <w:color w:val="000000"/>
                <w:kern w:val="0"/>
                <w:sz w:val="28"/>
                <w:szCs w:val="28"/>
              </w:rPr>
            </w:pPr>
          </w:p>
        </w:tc>
      </w:tr>
    </w:tbl>
    <w:p>
      <w:pPr>
        <w:widowControl/>
        <w:jc w:val="left"/>
        <w:rPr>
          <w:rFonts w:ascii="仿宋_GB2312" w:hAnsi="华文中宋" w:eastAsia="仿宋_GB2312"/>
          <w:b/>
          <w:color w:val="000000" w:themeColor="text1"/>
          <w:sz w:val="28"/>
          <w:szCs w:val="28"/>
        </w:rPr>
      </w:pPr>
      <w:r>
        <w:rPr>
          <w:rFonts w:hint="eastAsia" w:ascii="仿宋" w:hAnsi="仿宋" w:eastAsia="仿宋" w:cs="宋体"/>
          <w:color w:val="000000"/>
          <w:kern w:val="0"/>
          <w:sz w:val="28"/>
          <w:szCs w:val="28"/>
        </w:rPr>
        <w:t>注：如同一车辆类型有多个品牌/型号，可另起行进行填写。</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9444864"/>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0CC13"/>
    <w:multiLevelType w:val="singleLevel"/>
    <w:tmpl w:val="5A20CC13"/>
    <w:lvl w:ilvl="0" w:tentative="0">
      <w:start w:val="3"/>
      <w:numFmt w:val="decimal"/>
      <w:suff w:val="nothing"/>
      <w:lvlText w:val="%1、"/>
      <w:lvlJc w:val="left"/>
    </w:lvl>
  </w:abstractNum>
  <w:abstractNum w:abstractNumId="1">
    <w:nsid w:val="5A21100C"/>
    <w:multiLevelType w:val="singleLevel"/>
    <w:tmpl w:val="5A21100C"/>
    <w:lvl w:ilvl="0" w:tentative="0">
      <w:start w:val="1"/>
      <w:numFmt w:val="chineseCounting"/>
      <w:suff w:val="nothing"/>
      <w:lvlText w:val="%1、"/>
      <w:lvlJc w:val="left"/>
    </w:lvl>
  </w:abstractNum>
  <w:abstractNum w:abstractNumId="2">
    <w:nsid w:val="5A6035CC"/>
    <w:multiLevelType w:val="singleLevel"/>
    <w:tmpl w:val="5A6035CC"/>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B712F"/>
    <w:rsid w:val="0000479D"/>
    <w:rsid w:val="00024482"/>
    <w:rsid w:val="000C17D5"/>
    <w:rsid w:val="000F7773"/>
    <w:rsid w:val="00163D41"/>
    <w:rsid w:val="0021547D"/>
    <w:rsid w:val="0025063A"/>
    <w:rsid w:val="002632A3"/>
    <w:rsid w:val="00263791"/>
    <w:rsid w:val="00284C46"/>
    <w:rsid w:val="00285BAE"/>
    <w:rsid w:val="002943F6"/>
    <w:rsid w:val="00311751"/>
    <w:rsid w:val="003260E4"/>
    <w:rsid w:val="00362212"/>
    <w:rsid w:val="003A2F37"/>
    <w:rsid w:val="003D04E7"/>
    <w:rsid w:val="003D4302"/>
    <w:rsid w:val="003F0F20"/>
    <w:rsid w:val="00434124"/>
    <w:rsid w:val="00444917"/>
    <w:rsid w:val="00467320"/>
    <w:rsid w:val="004D4D26"/>
    <w:rsid w:val="005E2355"/>
    <w:rsid w:val="005F2E0D"/>
    <w:rsid w:val="0069745C"/>
    <w:rsid w:val="006A73E6"/>
    <w:rsid w:val="006B1557"/>
    <w:rsid w:val="00720B8A"/>
    <w:rsid w:val="0073642E"/>
    <w:rsid w:val="0073729E"/>
    <w:rsid w:val="007674AC"/>
    <w:rsid w:val="00767648"/>
    <w:rsid w:val="00792217"/>
    <w:rsid w:val="007A7F84"/>
    <w:rsid w:val="007E6807"/>
    <w:rsid w:val="00822494"/>
    <w:rsid w:val="00896F05"/>
    <w:rsid w:val="008B3AA2"/>
    <w:rsid w:val="008B712F"/>
    <w:rsid w:val="008E22EA"/>
    <w:rsid w:val="008E7404"/>
    <w:rsid w:val="008F7675"/>
    <w:rsid w:val="00964D95"/>
    <w:rsid w:val="009A2BBB"/>
    <w:rsid w:val="00AC563B"/>
    <w:rsid w:val="00B00A86"/>
    <w:rsid w:val="00B377A5"/>
    <w:rsid w:val="00B57ABD"/>
    <w:rsid w:val="00B70E92"/>
    <w:rsid w:val="00BB03CB"/>
    <w:rsid w:val="00BC6EEE"/>
    <w:rsid w:val="00C604B0"/>
    <w:rsid w:val="00C729DE"/>
    <w:rsid w:val="00C7718A"/>
    <w:rsid w:val="00C876CD"/>
    <w:rsid w:val="00CC1C60"/>
    <w:rsid w:val="00CF2EB8"/>
    <w:rsid w:val="00D11183"/>
    <w:rsid w:val="00D24253"/>
    <w:rsid w:val="00DB2FD5"/>
    <w:rsid w:val="00DB64E2"/>
    <w:rsid w:val="00E00D05"/>
    <w:rsid w:val="00E17BB5"/>
    <w:rsid w:val="00EB373B"/>
    <w:rsid w:val="00EC18F9"/>
    <w:rsid w:val="00EC652B"/>
    <w:rsid w:val="00F144AB"/>
    <w:rsid w:val="00F23F16"/>
    <w:rsid w:val="00F43442"/>
    <w:rsid w:val="00F43C54"/>
    <w:rsid w:val="00FD0569"/>
    <w:rsid w:val="00FF03BD"/>
    <w:rsid w:val="01B40293"/>
    <w:rsid w:val="025E7791"/>
    <w:rsid w:val="03E907A7"/>
    <w:rsid w:val="04C369AC"/>
    <w:rsid w:val="098F7817"/>
    <w:rsid w:val="0BAD15C0"/>
    <w:rsid w:val="0C0E0FE4"/>
    <w:rsid w:val="0DCC4AF9"/>
    <w:rsid w:val="148079A2"/>
    <w:rsid w:val="14ED62CB"/>
    <w:rsid w:val="175F7909"/>
    <w:rsid w:val="19907D3A"/>
    <w:rsid w:val="199470F4"/>
    <w:rsid w:val="1D9D35D8"/>
    <w:rsid w:val="1DB91B87"/>
    <w:rsid w:val="1FBF7DD6"/>
    <w:rsid w:val="21A81C4E"/>
    <w:rsid w:val="25B267D4"/>
    <w:rsid w:val="26264592"/>
    <w:rsid w:val="2696064C"/>
    <w:rsid w:val="27E8166F"/>
    <w:rsid w:val="2BCC6E80"/>
    <w:rsid w:val="2D651555"/>
    <w:rsid w:val="2F62294A"/>
    <w:rsid w:val="36186739"/>
    <w:rsid w:val="36A3201A"/>
    <w:rsid w:val="387F75D7"/>
    <w:rsid w:val="3F080E4E"/>
    <w:rsid w:val="41DC0704"/>
    <w:rsid w:val="44161E6F"/>
    <w:rsid w:val="45442AAF"/>
    <w:rsid w:val="4819181B"/>
    <w:rsid w:val="4ABA0317"/>
    <w:rsid w:val="4B611C97"/>
    <w:rsid w:val="4B825CC8"/>
    <w:rsid w:val="4C5C06E1"/>
    <w:rsid w:val="4D2944BE"/>
    <w:rsid w:val="511B0895"/>
    <w:rsid w:val="538C53B2"/>
    <w:rsid w:val="57637C64"/>
    <w:rsid w:val="58831656"/>
    <w:rsid w:val="58A350F9"/>
    <w:rsid w:val="5AB0015A"/>
    <w:rsid w:val="5CD860F4"/>
    <w:rsid w:val="5D802F87"/>
    <w:rsid w:val="5E331CE8"/>
    <w:rsid w:val="63723991"/>
    <w:rsid w:val="642471B4"/>
    <w:rsid w:val="66190B50"/>
    <w:rsid w:val="66784BF3"/>
    <w:rsid w:val="66B11F2A"/>
    <w:rsid w:val="67551E42"/>
    <w:rsid w:val="6F147C49"/>
    <w:rsid w:val="70852EF6"/>
    <w:rsid w:val="75E27BFD"/>
    <w:rsid w:val="76D967CF"/>
    <w:rsid w:val="782F7B9C"/>
    <w:rsid w:val="78553BF8"/>
    <w:rsid w:val="78CE5520"/>
    <w:rsid w:val="7A012A71"/>
    <w:rsid w:val="7A590018"/>
    <w:rsid w:val="7BD75046"/>
    <w:rsid w:val="7CD11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bsharetext"/>
    <w:basedOn w:val="6"/>
    <w:qFormat/>
    <w:uiPriority w:val="0"/>
  </w:style>
  <w:style w:type="character" w:customStyle="1" w:styleId="10">
    <w:name w:val="页眉 Char"/>
    <w:basedOn w:val="6"/>
    <w:link w:val="4"/>
    <w:qFormat/>
    <w:uiPriority w:val="0"/>
    <w:rPr>
      <w:rFonts w:asciiTheme="minorHAnsi" w:hAnsiTheme="minorHAnsi" w:cstheme="minorBidi"/>
      <w:kern w:val="2"/>
      <w:sz w:val="18"/>
      <w:szCs w:val="18"/>
    </w:rPr>
  </w:style>
  <w:style w:type="character" w:customStyle="1" w:styleId="11">
    <w:name w:val="页脚 Char"/>
    <w:basedOn w:val="6"/>
    <w:link w:val="3"/>
    <w:qFormat/>
    <w:uiPriority w:val="99"/>
    <w:rPr>
      <w:rFonts w:asciiTheme="minorHAnsi" w:hAnsiTheme="minorHAnsi" w:cstheme="minorBidi"/>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6"/>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C705F-F981-4B11-A7EC-7BB8BE78E1F7}">
  <ds:schemaRefs/>
</ds:datastoreItem>
</file>

<file path=docProps/app.xml><?xml version="1.0" encoding="utf-8"?>
<Properties xmlns="http://schemas.openxmlformats.org/officeDocument/2006/extended-properties" xmlns:vt="http://schemas.openxmlformats.org/officeDocument/2006/docPropsVTypes">
  <Template>Normal</Template>
  <Company>PC</Company>
  <Pages>5</Pages>
  <Words>334</Words>
  <Characters>1904</Characters>
  <Lines>15</Lines>
  <Paragraphs>4</Paragraphs>
  <TotalTime>24</TotalTime>
  <ScaleCrop>false</ScaleCrop>
  <LinksUpToDate>false</LinksUpToDate>
  <CharactersWithSpaces>2234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2018-12-18T02:01:00Z</dcterms:created>
  <dc:creator>Administrator</dc:creator>
  <cp:lastModifiedBy>Administrator</cp:lastModifiedBy>
  <cp:lastPrinted>2018-12-18T02:19:00Z</cp:lastPrinted>
  <dcterms:modified xsi:type="dcterms:W3CDTF">2018-12-19T01:27:33Z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