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项目名称：赣州市人民医院南院区樟树采购项目</w:t>
      </w:r>
    </w:p>
    <w:p>
      <w:pPr>
        <w:spacing w:line="480" w:lineRule="auto"/>
        <w:rPr>
          <w:rFonts w:eastAsia="黑体"/>
          <w:b/>
          <w:bCs/>
          <w:color w:val="auto"/>
          <w:sz w:val="32"/>
        </w:rPr>
      </w:pPr>
    </w:p>
    <w:p>
      <w:pPr>
        <w:spacing w:line="480" w:lineRule="auto"/>
        <w:rPr>
          <w:rFonts w:eastAsia="黑体"/>
          <w:b/>
          <w:bCs/>
          <w:color w:val="auto"/>
          <w:sz w:val="32"/>
        </w:rPr>
      </w:pPr>
    </w:p>
    <w:p>
      <w:pPr>
        <w:spacing w:line="480" w:lineRule="auto"/>
        <w:ind w:firstLine="1263" w:firstLineChars="393"/>
        <w:rPr>
          <w:rFonts w:eastAsia="黑体"/>
          <w:b/>
          <w:bCs/>
          <w:color w:val="auto"/>
          <w:sz w:val="32"/>
        </w:rPr>
      </w:pPr>
      <w:r>
        <w:rPr>
          <w:rFonts w:hint="eastAsia" w:eastAsia="黑体"/>
          <w:b/>
          <w:bCs/>
          <w:color w:val="auto"/>
          <w:sz w:val="32"/>
        </w:rPr>
        <w:t>项目编号：YN2019-008</w:t>
      </w:r>
    </w:p>
    <w:p>
      <w:pPr>
        <w:spacing w:line="480" w:lineRule="auto"/>
        <w:rPr>
          <w:rFonts w:asciiTheme="minorEastAsia" w:hAnsiTheme="minorEastAsia" w:eastAsiaTheme="minorEastAsia"/>
          <w:color w:val="auto"/>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二0一九年4月4日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Pr>
        <w:pStyle w:val="14"/>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t>9</w:t>
      </w:r>
      <w:r>
        <w:fldChar w:fldCharType="end"/>
      </w:r>
      <w:r>
        <w:fldChar w:fldCharType="end"/>
      </w:r>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fldChar w:fldCharType="begin"/>
      </w:r>
      <w:r>
        <w:instrText xml:space="preserve"> PAGEREF _Toc533775678 \h </w:instrText>
      </w:r>
      <w:r>
        <w:fldChar w:fldCharType="separate"/>
      </w:r>
      <w:r>
        <w:t>11</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headerReference r:id="rId5" w:type="first"/>
          <w:footerReference r:id="rId8" w:type="first"/>
          <w:headerReference r:id="rId3" w:type="default"/>
          <w:footerReference r:id="rId6" w:type="default"/>
          <w:headerReference r:id="rId4" w:type="even"/>
          <w:footerReference r:id="rId7" w:type="even"/>
          <w:pgSz w:w="11907" w:h="16840"/>
          <w:pgMar w:top="1474" w:right="850" w:bottom="1474" w:left="1134" w:header="720" w:footer="720" w:gutter="0"/>
          <w:pgNumType w:start="0"/>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ascii="宋体" w:hAnsi="宋体" w:cs="宋体"/>
          <w:sz w:val="30"/>
          <w:szCs w:val="30"/>
        </w:rPr>
      </w:pPr>
      <w:r>
        <w:rPr>
          <w:rFonts w:hint="eastAsia" w:ascii="宋体" w:hAnsi="宋体" w:cs="宋体"/>
          <w:sz w:val="30"/>
          <w:szCs w:val="30"/>
        </w:rPr>
        <w:t>赣州市人民医院近期将对南园区樟树采购项目进行竞争性谈判采购。欢迎符合资格条件的供应商前来参加。</w:t>
      </w:r>
    </w:p>
    <w:p>
      <w:pPr>
        <w:pStyle w:val="10"/>
        <w:spacing w:line="460" w:lineRule="exact"/>
        <w:ind w:firstLine="602"/>
        <w:rPr>
          <w:rFonts w:ascii="宋体" w:hAnsi="宋体" w:cs="宋体"/>
          <w:sz w:val="30"/>
          <w:szCs w:val="30"/>
        </w:rPr>
      </w:pPr>
      <w:r>
        <w:rPr>
          <w:rFonts w:hint="eastAsia" w:ascii="宋体" w:hAnsi="宋体" w:cs="宋体"/>
          <w:b/>
          <w:bCs/>
          <w:sz w:val="30"/>
          <w:szCs w:val="30"/>
        </w:rPr>
        <w:t>（一）项目编号：YN2019-008</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18"/>
        <w:tblW w:w="9705" w:type="dxa"/>
        <w:jc w:val="center"/>
        <w:tblInd w:w="362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69"/>
        <w:gridCol w:w="780"/>
        <w:gridCol w:w="827"/>
        <w:gridCol w:w="4232"/>
        <w:gridCol w:w="1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8" w:hRule="atLeast"/>
          <w:jc w:val="center"/>
        </w:trPr>
        <w:tc>
          <w:tcPr>
            <w:tcW w:w="2069"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462" w:firstLineChars="200"/>
              <w:jc w:val="both"/>
            </w:pPr>
            <w:r>
              <w:rPr>
                <w:rFonts w:hint="eastAsia"/>
                <w:b/>
                <w:spacing w:val="-20"/>
                <w:sz w:val="27"/>
                <w:szCs w:val="27"/>
              </w:rPr>
              <w:t>项目名称</w:t>
            </w:r>
          </w:p>
        </w:tc>
        <w:tc>
          <w:tcPr>
            <w:tcW w:w="780"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pPr>
            <w:r>
              <w:rPr>
                <w:rFonts w:hint="eastAsia"/>
                <w:b/>
                <w:spacing w:val="-20"/>
                <w:sz w:val="27"/>
                <w:szCs w:val="27"/>
              </w:rPr>
              <w:t>数量</w:t>
            </w:r>
          </w:p>
        </w:tc>
        <w:tc>
          <w:tcPr>
            <w:tcW w:w="827"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pPr>
            <w:r>
              <w:rPr>
                <w:rFonts w:hint="eastAsia"/>
                <w:b/>
                <w:spacing w:val="-20"/>
                <w:sz w:val="27"/>
                <w:szCs w:val="27"/>
              </w:rPr>
              <w:t>单位</w:t>
            </w:r>
          </w:p>
        </w:tc>
        <w:tc>
          <w:tcPr>
            <w:tcW w:w="4232"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462" w:firstLineChars="200"/>
              <w:jc w:val="center"/>
            </w:pPr>
            <w:r>
              <w:rPr>
                <w:rFonts w:hint="eastAsia"/>
                <w:b/>
                <w:spacing w:val="-20"/>
                <w:sz w:val="27"/>
                <w:szCs w:val="27"/>
              </w:rPr>
              <w:t>主要技术规格及要求</w:t>
            </w:r>
          </w:p>
        </w:tc>
        <w:tc>
          <w:tcPr>
            <w:tcW w:w="1797"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pPr>
            <w:r>
              <w:rPr>
                <w:rFonts w:hint="eastAsia"/>
                <w:b/>
                <w:spacing w:val="-20"/>
                <w:sz w:val="27"/>
                <w:szCs w:val="27"/>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before="100" w:beforeAutospacing="1" w:after="100" w:afterAutospacing="1"/>
              <w:ind w:left="262"/>
              <w:jc w:val="left"/>
              <w:rPr>
                <w:rFonts w:hint="eastAsia" w:ascii="宋体" w:hAnsi="宋体" w:eastAsia="宋体" w:cs="宋体"/>
                <w:kern w:val="0"/>
                <w:sz w:val="30"/>
                <w:szCs w:val="30"/>
              </w:rPr>
            </w:pPr>
            <w:r>
              <w:rPr>
                <w:rFonts w:hint="eastAsia" w:ascii="宋体" w:hAnsi="宋体" w:eastAsia="宋体" w:cs="宋体"/>
                <w:kern w:val="0"/>
                <w:sz w:val="30"/>
                <w:szCs w:val="30"/>
              </w:rPr>
              <w:t>南院区樟树采购</w:t>
            </w:r>
          </w:p>
        </w:tc>
        <w:tc>
          <w:tcPr>
            <w:tcW w:w="780" w:type="dxa"/>
            <w:tcBorders>
              <w:top w:val="nil"/>
              <w:left w:val="nil"/>
              <w:bottom w:val="single" w:color="auto" w:sz="8" w:space="0"/>
              <w:right w:val="single" w:color="auto" w:sz="8" w:space="0"/>
            </w:tcBorders>
            <w:noWrap/>
            <w:tcMar>
              <w:left w:w="108" w:type="dxa"/>
              <w:right w:w="108" w:type="dxa"/>
            </w:tcMar>
            <w:vAlign w:val="center"/>
          </w:tcPr>
          <w:p>
            <w:pPr>
              <w:widowControl/>
              <w:spacing w:before="100" w:beforeAutospacing="1" w:after="100" w:afterAutospacing="1"/>
              <w:jc w:val="left"/>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25</w:t>
            </w:r>
          </w:p>
        </w:tc>
        <w:tc>
          <w:tcPr>
            <w:tcW w:w="827" w:type="dxa"/>
            <w:tcBorders>
              <w:top w:val="nil"/>
              <w:left w:val="nil"/>
              <w:bottom w:val="single" w:color="auto" w:sz="8" w:space="0"/>
              <w:right w:val="single" w:color="auto" w:sz="8" w:space="0"/>
            </w:tcBorders>
            <w:noWrap/>
            <w:tcMar>
              <w:left w:w="108" w:type="dxa"/>
              <w:right w:w="108" w:type="dxa"/>
            </w:tcMar>
            <w:vAlign w:val="center"/>
          </w:tcPr>
          <w:p>
            <w:pPr>
              <w:widowControl/>
              <w:spacing w:before="100" w:beforeAutospacing="1" w:after="100" w:afterAutospacing="1"/>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棵</w:t>
            </w:r>
          </w:p>
        </w:tc>
        <w:tc>
          <w:tcPr>
            <w:tcW w:w="4232" w:type="dxa"/>
            <w:tcBorders>
              <w:top w:val="nil"/>
              <w:left w:val="nil"/>
              <w:bottom w:val="single" w:color="auto" w:sz="8" w:space="0"/>
              <w:right w:val="single" w:color="auto" w:sz="8" w:space="0"/>
            </w:tcBorders>
            <w:noWrap/>
            <w:tcMar>
              <w:left w:w="108" w:type="dxa"/>
              <w:right w:w="108" w:type="dxa"/>
            </w:tcMar>
            <w:vAlign w:val="center"/>
          </w:tcPr>
          <w:p>
            <w:pPr>
              <w:pStyle w:val="16"/>
              <w:numPr>
                <w:ilvl w:val="0"/>
                <w:numId w:val="1"/>
              </w:numPr>
              <w:spacing w:before="0" w:beforeAutospacing="0" w:after="0" w:afterAutospacing="0" w:line="460" w:lineRule="exact"/>
              <w:jc w:val="both"/>
              <w:rPr>
                <w:rFonts w:hint="eastAsia" w:ascii="宋体" w:hAnsi="宋体" w:eastAsia="宋体" w:cs="宋体"/>
                <w:sz w:val="30"/>
                <w:szCs w:val="30"/>
              </w:rPr>
            </w:pPr>
            <w:r>
              <w:rPr>
                <w:rFonts w:hint="eastAsia" w:ascii="宋体" w:hAnsi="宋体" w:eastAsia="宋体" w:cs="宋体"/>
                <w:color w:val="auto"/>
                <w:sz w:val="30"/>
                <w:szCs w:val="30"/>
              </w:rPr>
              <w:t>卖方所提供的樟树胸径必须大于或等于</w:t>
            </w:r>
            <w:r>
              <w:rPr>
                <w:rFonts w:hint="eastAsia" w:ascii="宋体" w:hAnsi="宋体" w:eastAsia="宋体" w:cs="宋体"/>
                <w:color w:val="auto"/>
                <w:sz w:val="30"/>
                <w:szCs w:val="30"/>
              </w:rPr>
              <w:t>25cm以上，高6-8米，冠幅2.5-3.5米，土球直径1.3米左右；卖方所提供的樟树必须</w:t>
            </w:r>
            <w:r>
              <w:rPr>
                <w:rFonts w:hint="eastAsia" w:ascii="宋体" w:hAnsi="宋体" w:eastAsia="宋体" w:cs="宋体"/>
                <w:sz w:val="30"/>
                <w:szCs w:val="30"/>
              </w:rPr>
              <w:t>为树形优美，树冠饱满且无病虫害的樟树；</w:t>
            </w:r>
          </w:p>
          <w:p>
            <w:pPr>
              <w:pStyle w:val="16"/>
              <w:numPr>
                <w:ilvl w:val="0"/>
                <w:numId w:val="1"/>
              </w:numPr>
              <w:spacing w:before="0" w:beforeAutospacing="0" w:after="0" w:afterAutospacing="0" w:line="460" w:lineRule="exact"/>
              <w:jc w:val="both"/>
              <w:rPr>
                <w:rFonts w:hint="eastAsia" w:ascii="宋体" w:hAnsi="宋体" w:eastAsia="宋体" w:cs="宋体"/>
                <w:color w:val="auto"/>
                <w:sz w:val="30"/>
                <w:szCs w:val="30"/>
              </w:rPr>
            </w:pPr>
            <w:r>
              <w:rPr>
                <w:rFonts w:hint="eastAsia" w:ascii="宋体" w:hAnsi="宋体" w:eastAsia="宋体" w:cs="宋体"/>
                <w:color w:val="auto"/>
                <w:sz w:val="30"/>
                <w:szCs w:val="30"/>
              </w:rPr>
              <w:t>项目要求报价含种植费用，种植地点为赣州市人民医院南院区，具体位置以买方指定为准；</w:t>
            </w:r>
          </w:p>
          <w:p>
            <w:pPr>
              <w:pStyle w:val="16"/>
              <w:numPr>
                <w:ilvl w:val="0"/>
                <w:numId w:val="1"/>
              </w:numPr>
              <w:spacing w:before="0" w:beforeAutospacing="0" w:after="0" w:afterAutospacing="0" w:line="460" w:lineRule="exact"/>
              <w:jc w:val="both"/>
              <w:rPr>
                <w:rFonts w:hint="eastAsia" w:ascii="宋体" w:hAnsi="宋体" w:eastAsia="宋体" w:cs="宋体"/>
                <w:color w:val="auto"/>
                <w:sz w:val="30"/>
                <w:szCs w:val="30"/>
              </w:rPr>
            </w:pPr>
            <w:r>
              <w:rPr>
                <w:rFonts w:hint="eastAsia" w:ascii="宋体" w:hAnsi="宋体" w:eastAsia="宋体" w:cs="宋体"/>
                <w:color w:val="auto"/>
                <w:sz w:val="30"/>
                <w:szCs w:val="30"/>
              </w:rPr>
              <w:t>种植地点原有的的樟树也由卖方负责移植。</w:t>
            </w:r>
          </w:p>
        </w:tc>
        <w:tc>
          <w:tcPr>
            <w:tcW w:w="1797" w:type="dxa"/>
            <w:tcBorders>
              <w:top w:val="nil"/>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rFonts w:hint="eastAsia" w:ascii="宋体" w:hAnsi="宋体" w:eastAsia="宋体" w:cs="宋体"/>
                <w:sz w:val="30"/>
                <w:szCs w:val="30"/>
              </w:rPr>
            </w:pPr>
            <w:r>
              <w:rPr>
                <w:rFonts w:hint="eastAsia" w:ascii="宋体" w:hAnsi="宋体" w:eastAsia="宋体" w:cs="宋体"/>
                <w:sz w:val="30"/>
                <w:szCs w:val="30"/>
              </w:rPr>
              <w:t>100000</w:t>
            </w: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4、参加采购活动前三年内，在经营活动中没有重大违法记录（书面声明）。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（2）特定资格条件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具备相应的绿化养护资格并提供近三年来相关园林养护的经营案例。</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自谈判公告发布之日（2019年</w:t>
      </w:r>
      <w:r>
        <w:rPr>
          <w:rFonts w:hint="default"/>
          <w:kern w:val="2"/>
          <w:sz w:val="30"/>
          <w:szCs w:val="30"/>
          <w:lang w:val="en-US"/>
        </w:rPr>
        <w:t>04</w:t>
      </w:r>
      <w:r>
        <w:rPr>
          <w:rFonts w:hint="eastAsia"/>
          <w:kern w:val="2"/>
          <w:sz w:val="30"/>
          <w:szCs w:val="30"/>
        </w:rPr>
        <w:t>月</w:t>
      </w:r>
      <w:r>
        <w:rPr>
          <w:rFonts w:hint="default"/>
          <w:kern w:val="2"/>
          <w:sz w:val="30"/>
          <w:szCs w:val="30"/>
          <w:lang w:val="en-US"/>
        </w:rPr>
        <w:t>04</w:t>
      </w:r>
      <w:r>
        <w:rPr>
          <w:rFonts w:hint="eastAsia"/>
          <w:kern w:val="2"/>
          <w:sz w:val="30"/>
          <w:szCs w:val="30"/>
        </w:rPr>
        <w:t>日）起三个工作日。</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（七）谈判文件的购买：</w:t>
      </w:r>
      <w:r>
        <w:rPr>
          <w:rFonts w:hint="eastAsia"/>
          <w:kern w:val="2"/>
          <w:sz w:val="30"/>
          <w:szCs w:val="30"/>
        </w:rPr>
        <w:t>2019年</w:t>
      </w:r>
      <w:r>
        <w:rPr>
          <w:rFonts w:hint="default"/>
          <w:kern w:val="2"/>
          <w:sz w:val="30"/>
          <w:szCs w:val="30"/>
          <w:lang w:val="en-US"/>
        </w:rPr>
        <w:t>04</w:t>
      </w:r>
      <w:r>
        <w:rPr>
          <w:rFonts w:hint="eastAsia"/>
          <w:kern w:val="2"/>
          <w:sz w:val="30"/>
          <w:szCs w:val="30"/>
        </w:rPr>
        <w:t>月</w:t>
      </w:r>
      <w:r>
        <w:rPr>
          <w:rFonts w:hint="default"/>
          <w:kern w:val="2"/>
          <w:sz w:val="30"/>
          <w:szCs w:val="30"/>
          <w:lang w:val="en-US"/>
        </w:rPr>
        <w:t>08</w:t>
      </w:r>
      <w:r>
        <w:rPr>
          <w:rFonts w:hint="eastAsia"/>
          <w:kern w:val="2"/>
          <w:sz w:val="30"/>
          <w:szCs w:val="30"/>
        </w:rPr>
        <w:t>日至2019年</w:t>
      </w:r>
      <w:r>
        <w:rPr>
          <w:rFonts w:hint="default"/>
          <w:kern w:val="2"/>
          <w:sz w:val="30"/>
          <w:szCs w:val="30"/>
          <w:lang w:val="en-US"/>
        </w:rPr>
        <w:t>04</w:t>
      </w:r>
      <w:r>
        <w:rPr>
          <w:rFonts w:hint="eastAsia"/>
          <w:kern w:val="2"/>
          <w:sz w:val="30"/>
          <w:szCs w:val="30"/>
        </w:rPr>
        <w:t>月</w:t>
      </w:r>
      <w:r>
        <w:rPr>
          <w:rFonts w:hint="default"/>
          <w:kern w:val="2"/>
          <w:sz w:val="30"/>
          <w:szCs w:val="30"/>
          <w:lang w:val="en-US"/>
        </w:rPr>
        <w:t>10</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rPr>
        <w:t>2019年</w:t>
      </w:r>
      <w:r>
        <w:rPr>
          <w:rFonts w:hint="default"/>
          <w:kern w:val="2"/>
          <w:sz w:val="30"/>
          <w:szCs w:val="30"/>
          <w:lang w:val="en-US"/>
        </w:rPr>
        <w:t>04</w:t>
      </w:r>
      <w:r>
        <w:rPr>
          <w:rFonts w:hint="eastAsia"/>
          <w:kern w:val="2"/>
          <w:sz w:val="30"/>
          <w:szCs w:val="30"/>
        </w:rPr>
        <w:t>月</w:t>
      </w:r>
      <w:r>
        <w:rPr>
          <w:rFonts w:hint="default"/>
          <w:kern w:val="2"/>
          <w:sz w:val="30"/>
          <w:szCs w:val="30"/>
          <w:lang w:val="en-US"/>
        </w:rPr>
        <w:t>12</w:t>
      </w:r>
      <w:r>
        <w:rPr>
          <w:rFonts w:hint="eastAsia"/>
          <w:kern w:val="2"/>
          <w:sz w:val="30"/>
          <w:szCs w:val="30"/>
        </w:rPr>
        <w:t>日</w:t>
      </w:r>
      <w:r>
        <w:rPr>
          <w:rFonts w:hint="eastAsia"/>
          <w:color w:val="auto"/>
          <w:kern w:val="2"/>
          <w:sz w:val="30"/>
          <w:szCs w:val="30"/>
          <w:lang w:eastAsia="zh-CN"/>
        </w:rPr>
        <w:t>下午</w:t>
      </w:r>
      <w:r>
        <w:rPr>
          <w:rFonts w:hint="eastAsia"/>
          <w:color w:val="auto"/>
          <w:kern w:val="2"/>
          <w:sz w:val="30"/>
          <w:szCs w:val="30"/>
          <w:lang w:val="en-US" w:eastAsia="zh-CN"/>
        </w:rPr>
        <w:t>14</w:t>
      </w:r>
      <w:r>
        <w:rPr>
          <w:rFonts w:hint="eastAsia"/>
          <w:color w:val="auto"/>
          <w:kern w:val="2"/>
          <w:sz w:val="30"/>
          <w:szCs w:val="30"/>
        </w:rPr>
        <w:t>:</w:t>
      </w:r>
      <w:r>
        <w:rPr>
          <w:rFonts w:hint="eastAsia"/>
          <w:color w:val="auto"/>
          <w:kern w:val="2"/>
          <w:sz w:val="30"/>
          <w:szCs w:val="30"/>
          <w:lang w:val="en-US" w:eastAsia="zh-CN"/>
        </w:rPr>
        <w:t>3</w:t>
      </w:r>
      <w:r>
        <w:rPr>
          <w:rFonts w:hint="eastAsia"/>
          <w:color w:val="auto"/>
          <w:kern w:val="2"/>
          <w:sz w:val="30"/>
          <w:szCs w:val="30"/>
        </w:rPr>
        <w:t>0（北京时间），谈判地点：赣州市人民医院南院行政楼2楼4号会议室。逾期或</w:t>
      </w:r>
      <w:r>
        <w:rPr>
          <w:rFonts w:hint="eastAsia"/>
          <w:kern w:val="2"/>
          <w:sz w:val="30"/>
          <w:szCs w:val="30"/>
        </w:rPr>
        <w:t>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（九）响应保证金及履约保证金：</w:t>
      </w:r>
      <w:r>
        <w:rPr>
          <w:rFonts w:hint="eastAsia"/>
          <w:b/>
          <w:bCs/>
          <w:color w:val="auto"/>
          <w:kern w:val="2"/>
          <w:sz w:val="30"/>
          <w:szCs w:val="30"/>
        </w:rPr>
        <w:t>响应供应商的响应保证金足额一次性缴纳人民币贰仟元整，</w:t>
      </w:r>
      <w:r>
        <w:rPr>
          <w:rFonts w:hint="eastAsia"/>
          <w:color w:val="auto"/>
          <w:kern w:val="2"/>
          <w:sz w:val="30"/>
          <w:szCs w:val="30"/>
        </w:rPr>
        <w:t>须在开标当天上午8：00前到账，从响应供应商（不得以分支机构等其他名义转入）的基本账户转入医院的指定帐户（单位名称:赣州市人民医院；账号:1510220109026473030；开户银行:工商银行赣州市虔城支行）（自然人参加的，从自然人的本人同名账户转入），否则</w:t>
      </w:r>
      <w:r>
        <w:rPr>
          <w:rFonts w:hint="eastAsia"/>
          <w:kern w:val="2"/>
          <w:sz w:val="30"/>
          <w:szCs w:val="30"/>
        </w:rPr>
        <w:t>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为履约保证金；履约保证金按成交金额的10%缴纳，不足部分在合同签订前补齐，货物验收合格后质保期结束时一次性无息退还。</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（十）付款方法：</w:t>
      </w:r>
      <w:r>
        <w:rPr>
          <w:rFonts w:hint="eastAsia"/>
          <w:kern w:val="2"/>
          <w:sz w:val="30"/>
          <w:szCs w:val="30"/>
        </w:rPr>
        <w:t>货物经验收合格后2个月内一次性付清，不计利息。</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495487710"/>
      <w:bookmarkStart w:id="6" w:name="_Toc499477410"/>
      <w:bookmarkStart w:id="7" w:name="_Toc501101639"/>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5、交货期：卖方应在《中标通知书》规定的时间内和买方签订正式合同，并在合同签订之日起</w:t>
      </w:r>
      <w:r>
        <w:rPr>
          <w:rFonts w:hint="eastAsia"/>
          <w:b/>
          <w:bCs/>
          <w:kern w:val="2"/>
          <w:sz w:val="30"/>
          <w:szCs w:val="30"/>
        </w:rPr>
        <w:t>7</w:t>
      </w:r>
      <w:r>
        <w:rPr>
          <w:rFonts w:hint="eastAsia"/>
          <w:kern w:val="2"/>
          <w:sz w:val="30"/>
          <w:szCs w:val="30"/>
        </w:rPr>
        <w:t xml:space="preserve">天内完成所有产品的供货，包含安装调试，并交付使用。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6、交货地点：赣州市人民医院南院区</w:t>
      </w:r>
    </w:p>
    <w:bookmarkEnd w:id="8"/>
    <w:p>
      <w:pPr>
        <w:pStyle w:val="16"/>
        <w:spacing w:before="0" w:beforeAutospacing="0" w:after="0" w:afterAutospacing="0" w:line="460" w:lineRule="exact"/>
        <w:ind w:firstLine="602" w:firstLineChars="200"/>
        <w:jc w:val="both"/>
        <w:rPr>
          <w:b/>
          <w:bCs/>
          <w:color w:val="auto"/>
          <w:kern w:val="2"/>
          <w:sz w:val="30"/>
          <w:szCs w:val="30"/>
        </w:rPr>
      </w:pPr>
      <w:r>
        <w:rPr>
          <w:rFonts w:hint="eastAsia"/>
          <w:b/>
          <w:bCs/>
          <w:kern w:val="2"/>
          <w:sz w:val="30"/>
          <w:szCs w:val="30"/>
        </w:rPr>
        <w:t>7、产品参数要求:</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卖方所提供的樟树胸径必须大于或等于25cm以上，高6-8米，冠幅2.5-3.5米，土球直径1.3米左右；</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卖方所提供的樟树必须为树形优美，树冠饱满且无病虫害的樟树；</w:t>
      </w:r>
    </w:p>
    <w:p>
      <w:pPr>
        <w:pStyle w:val="16"/>
        <w:spacing w:before="0" w:beforeAutospacing="0" w:after="0" w:afterAutospacing="0" w:line="460" w:lineRule="exact"/>
        <w:ind w:firstLine="602" w:firstLineChars="200"/>
        <w:jc w:val="both"/>
        <w:rPr>
          <w:b/>
          <w:bCs/>
          <w:color w:val="auto"/>
          <w:kern w:val="2"/>
          <w:sz w:val="30"/>
          <w:szCs w:val="30"/>
        </w:rPr>
      </w:pPr>
      <w:r>
        <w:rPr>
          <w:rFonts w:hint="eastAsia"/>
          <w:b/>
          <w:bCs/>
          <w:color w:val="auto"/>
          <w:kern w:val="2"/>
          <w:sz w:val="30"/>
          <w:szCs w:val="30"/>
        </w:rPr>
        <w:t>8、售后要求：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8.1质保期自验收合格之日起不得少于</w:t>
      </w:r>
      <w:r>
        <w:rPr>
          <w:rFonts w:hint="eastAsia"/>
          <w:b/>
          <w:bCs/>
          <w:kern w:val="2"/>
          <w:sz w:val="30"/>
          <w:szCs w:val="30"/>
        </w:rPr>
        <w:t>2</w:t>
      </w:r>
      <w:r>
        <w:rPr>
          <w:rFonts w:hint="eastAsia"/>
          <w:kern w:val="2"/>
          <w:sz w:val="30"/>
          <w:szCs w:val="30"/>
        </w:rPr>
        <w:t>个月。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9、违约赔偿：</w:t>
      </w:r>
      <w:bookmarkStart w:id="38" w:name="_GoBack"/>
      <w:bookmarkEnd w:id="38"/>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9.1如果卖方没有按照合同规定的时间交货和提供服务，</w:t>
      </w:r>
      <w:r>
        <w:rPr>
          <w:rFonts w:hint="eastAsia"/>
          <w:color w:val="auto"/>
          <w:kern w:val="2"/>
          <w:sz w:val="30"/>
          <w:szCs w:val="30"/>
        </w:rPr>
        <w:t>买方可从货款中扣除违约赔偿费，赔偿费应按每迟交一天，按合同总价的1%计收。但违约赔偿费的最高限额为合同总价的10%。</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10.其他要求：</w:t>
      </w:r>
    </w:p>
    <w:p>
      <w:pPr>
        <w:spacing w:line="360" w:lineRule="exac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FF0000"/>
          <w:sz w:val="24"/>
          <w:szCs w:val="24"/>
        </w:rPr>
        <w:t xml:space="preserve">     </w:t>
      </w:r>
      <w:r>
        <w:rPr>
          <w:rFonts w:hint="eastAsia" w:ascii="宋体" w:hAnsi="宋体" w:cs="宋体"/>
          <w:color w:val="000000"/>
          <w:sz w:val="30"/>
          <w:szCs w:val="30"/>
        </w:rPr>
        <w:t>卖方除需提供樟树外，还必须保证樟树的种植，具体种植地点由买方指定。种植地点原有樟树的移植也由卖方负责。</w:t>
      </w: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1.2具有履行合同所必须的设备和专业技术能力的证明文件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1.4参加采购前三年内,在经营活动中没有重大违法记录的证明文件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1.5法定代表人授权书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1.6供应商的资格声明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1.7谈判保证金凭证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1.8 其他资格证明文件</w:t>
      </w:r>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100000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6"/>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6"/>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445715221"/>
      <w:bookmarkStart w:id="16" w:name="_Toc376848255"/>
      <w:bookmarkStart w:id="17" w:name="_Toc286758341"/>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spacing w:before="240" w:after="240"/>
        <w:jc w:val="center"/>
        <w:rPr>
          <w:rFonts w:ascii="仿宋" w:hAnsi="仿宋" w:eastAsia="仿宋" w:cs="仿宋"/>
          <w:b/>
          <w:kern w:val="0"/>
          <w:sz w:val="32"/>
          <w:szCs w:val="32"/>
        </w:rPr>
      </w:pPr>
      <w:bookmarkStart w:id="18" w:name="_Toc533775677"/>
      <w:r>
        <w:rPr>
          <w:rFonts w:hint="eastAsia"/>
          <w:b/>
          <w:sz w:val="32"/>
        </w:rPr>
        <w:t>第三章　</w:t>
      </w:r>
      <w:bookmarkStart w:id="19" w:name="_Toc225565935"/>
      <w:bookmarkStart w:id="20" w:name="_Toc387418052"/>
      <w:r>
        <w:rPr>
          <w:rFonts w:hint="eastAsia"/>
          <w:b/>
          <w:sz w:val="32"/>
        </w:rPr>
        <w:t>合同草案</w:t>
      </w:r>
      <w:bookmarkEnd w:id="18"/>
    </w:p>
    <w:p>
      <w:pPr>
        <w:tabs>
          <w:tab w:val="left" w:pos="4620"/>
        </w:tabs>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甲、乙双方根据项目编号：赣州市人民医院南院区樟树采购的成交结果和竞谈文件的要求，并经双方协商一致，同意按下述条件签订本合同。</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1、合同文件的组成（以下内容是组成本合同文件不可分割的部分）：</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（1）本合同；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（2）中标通知书；</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（3）竞谈文件（含招标过程补充通知及答疑回复等）；</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（4）响应文件。</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2、合同范围和条件：本合同的范围和条件应与上述合同文件的规定一致。</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3、设备名称、品牌型号及数量、单价：</w:t>
      </w:r>
    </w:p>
    <w:tbl>
      <w:tblPr>
        <w:tblStyle w:val="18"/>
        <w:tblW w:w="8567"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192"/>
        <w:gridCol w:w="875"/>
        <w:gridCol w:w="195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noWrap/>
            <w:vAlign w:val="center"/>
          </w:tcPr>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2192"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品牌及规格型号</w:t>
            </w:r>
          </w:p>
        </w:tc>
        <w:tc>
          <w:tcPr>
            <w:tcW w:w="875"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959"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单价（元）</w:t>
            </w:r>
          </w:p>
        </w:tc>
        <w:tc>
          <w:tcPr>
            <w:tcW w:w="1800"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1741" w:type="dxa"/>
            <w:noWrap/>
            <w:vAlign w:val="center"/>
          </w:tcPr>
          <w:p>
            <w:pPr>
              <w:spacing w:line="440" w:lineRule="exact"/>
              <w:rPr>
                <w:rFonts w:ascii="仿宋_GB2312" w:hAnsi="仿宋_GB2312" w:eastAsia="仿宋_GB2312" w:cs="仿宋_GB2312"/>
                <w:sz w:val="24"/>
                <w:szCs w:val="28"/>
              </w:rPr>
            </w:pPr>
            <w:r>
              <w:rPr>
                <w:rFonts w:hint="eastAsia" w:ascii="仿宋_GB2312" w:hAnsi="Arial" w:eastAsia="仿宋_GB2312" w:cs="Arial"/>
                <w:kern w:val="0"/>
                <w:szCs w:val="21"/>
              </w:rPr>
              <w:t>南院区樟树采购</w:t>
            </w:r>
          </w:p>
        </w:tc>
        <w:tc>
          <w:tcPr>
            <w:tcW w:w="2192" w:type="dxa"/>
            <w:noWrap/>
            <w:vAlign w:val="center"/>
          </w:tcPr>
          <w:p>
            <w:pPr>
              <w:spacing w:line="440" w:lineRule="exact"/>
              <w:rPr>
                <w:rFonts w:ascii="仿宋_GB2312" w:hAnsi="仿宋_GB2312" w:eastAsia="仿宋_GB2312" w:cs="仿宋_GB2312"/>
                <w:sz w:val="24"/>
                <w:szCs w:val="28"/>
              </w:rPr>
            </w:pPr>
          </w:p>
        </w:tc>
        <w:tc>
          <w:tcPr>
            <w:tcW w:w="875" w:type="dxa"/>
            <w:noWrap/>
            <w:vAlign w:val="center"/>
          </w:tcPr>
          <w:p>
            <w:pPr>
              <w:spacing w:line="440" w:lineRule="exact"/>
              <w:jc w:val="center"/>
              <w:rPr>
                <w:rFonts w:ascii="仿宋_GB2312" w:hAnsi="仿宋_GB2312" w:eastAsia="仿宋_GB2312" w:cs="仿宋_GB2312"/>
                <w:sz w:val="24"/>
                <w:szCs w:val="28"/>
              </w:rPr>
            </w:pPr>
          </w:p>
        </w:tc>
        <w:tc>
          <w:tcPr>
            <w:tcW w:w="1959" w:type="dxa"/>
            <w:noWrap/>
            <w:vAlign w:val="center"/>
          </w:tcPr>
          <w:p>
            <w:pPr>
              <w:spacing w:line="440" w:lineRule="exact"/>
              <w:jc w:val="center"/>
              <w:rPr>
                <w:rFonts w:ascii="仿宋_GB2312" w:hAnsi="仿宋_GB2312" w:eastAsia="仿宋_GB2312" w:cs="仿宋_GB2312"/>
                <w:sz w:val="24"/>
                <w:szCs w:val="28"/>
              </w:rPr>
            </w:pPr>
          </w:p>
        </w:tc>
        <w:tc>
          <w:tcPr>
            <w:tcW w:w="1800" w:type="dxa"/>
            <w:noWrap/>
            <w:vAlign w:val="center"/>
          </w:tcPr>
          <w:p>
            <w:pPr>
              <w:spacing w:line="440" w:lineRule="exact"/>
              <w:jc w:val="center"/>
              <w:rPr>
                <w:rFonts w:ascii="仿宋_GB2312" w:hAnsi="仿宋_GB2312" w:eastAsia="仿宋_GB2312" w:cs="仿宋_GB2312"/>
                <w:sz w:val="24"/>
                <w:szCs w:val="28"/>
              </w:rPr>
            </w:pPr>
          </w:p>
        </w:tc>
      </w:tr>
    </w:tbl>
    <w:p>
      <w:pPr>
        <w:widowControl/>
        <w:spacing w:line="440" w:lineRule="exact"/>
        <w:ind w:left="1119" w:leftChars="266" w:hanging="560" w:hanging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4、合同总金额为人民币</w:t>
      </w:r>
      <w:r>
        <w:rPr>
          <w:rFonts w:hint="eastAsia" w:ascii="仿宋_GB2312" w:hAnsi="仿宋_GB2312" w:eastAsia="仿宋_GB2312" w:cs="仿宋_GB2312"/>
          <w:b/>
          <w:bCs/>
          <w:sz w:val="28"/>
          <w:szCs w:val="28"/>
          <w:u w:val="single"/>
        </w:rPr>
        <w:t>*****元整</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bCs/>
          <w:sz w:val="28"/>
          <w:szCs w:val="28"/>
        </w:rPr>
        <w:t>元）。</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5、付款方式：所有苗木种植完毕，现场修复验收合格后两个月内一次性付清，不计利息。 </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6、交货时间、交货地点：赣州市人民医院南院区 </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6.1乙方应在签订合同之日起5天内交货且开始进行种植。</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6.2交货地点：赣州市人民医院指定地点。</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6.3在履行合同过程中，如果乙方遇到不能按时交货和提供服务的情况，应及时以书面形式将不能按时交货的理由、延误时间通知甲方。甲方在收到乙方通知后，应进行分析，如果同意，可通过修改合同，酌情延长交货时间。</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6.4如果乙方拖延交货，将受到以下制裁：没收履约保证金，加收违约损失赔偿和/或终止合同。</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7、违约责任：如果乙方没有按照合同规定的时间交货和提供服务，甲方可从货款中扣除违约赔偿费，赔偿费应按每迟交一天，按合同总价的1%计收。但违约赔偿费的最高限额为合同总价的10%。</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10、其他约定：</w:t>
      </w:r>
    </w:p>
    <w:p>
      <w:pPr>
        <w:pStyle w:val="16"/>
        <w:spacing w:before="0" w:beforeAutospacing="0" w:after="0" w:afterAutospacing="0" w:line="460" w:lineRule="exact"/>
        <w:ind w:firstLine="560" w:firstLineChars="200"/>
        <w:jc w:val="both"/>
        <w:rPr>
          <w:kern w:val="2"/>
          <w:sz w:val="30"/>
          <w:szCs w:val="30"/>
        </w:rPr>
      </w:pPr>
      <w:r>
        <w:rPr>
          <w:rFonts w:hint="eastAsia" w:ascii="仿宋_GB2312" w:hAnsi="仿宋_GB2312" w:eastAsia="仿宋_GB2312" w:cs="仿宋_GB2312"/>
          <w:sz w:val="28"/>
          <w:szCs w:val="28"/>
        </w:rPr>
        <w:t>10.1乙方按合同金额的10%标准（即**元）向甲方缴纳本项目的履约保证金，所有苗木种植完毕，且验收合格后转为质保金，质保期结束时存活率超过百分之八十一次性不计息退还。</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10.2甲方有权对乙方所供应苗木进行检验，若检验结果不符合本谈判文件的要求，甲方将退回所有苗木，且不予支付任何费用，所有责任由乙方承担。</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11、合同生效：本合同在甲方收取乙方提交的履约保证金，且经甲、乙双方签字盖章后生效。</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12、本合同一式叁份，以中文书写。甲方两份，乙方一份，具有同等法律效力。</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13、本协议未尽事宜双方协商解决，协商不成可向甲方所在地人民法院诉讼。</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甲方（盖章）：赣州市人民医院      乙方（盖章）：  </w:t>
      </w:r>
    </w:p>
    <w:p>
      <w:pPr>
        <w:widowControl/>
        <w:spacing w:line="440" w:lineRule="exact"/>
        <w:jc w:val="left"/>
        <w:rPr>
          <w:rFonts w:ascii="仿宋_GB2312" w:hAnsi="仿宋_GB2312" w:eastAsia="仿宋_GB2312" w:cs="仿宋_GB2312"/>
          <w:sz w:val="28"/>
          <w:szCs w:val="28"/>
        </w:rPr>
      </w:pP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代表签字 ：                      代表签字 </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电话：0797-                      电话：</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传真：0797-                      传真：</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纳税人识别号：360701491750681    开户行：</w:t>
      </w:r>
    </w:p>
    <w:p>
      <w:pPr>
        <w:widowControl/>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账号：</w:t>
      </w:r>
    </w:p>
    <w:p>
      <w:pPr>
        <w:spacing w:line="440" w:lineRule="exact"/>
        <w:rPr>
          <w:b/>
          <w:sz w:val="32"/>
        </w:rPr>
      </w:pPr>
      <w:bookmarkStart w:id="21" w:name="_Toc533775678"/>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9"/>
      <w:bookmarkEnd w:id="20"/>
      <w:bookmarkEnd w:id="21"/>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asciiTheme="minorEastAsia" w:hAnsiTheme="minorEastAsia" w:eastAsiaTheme="minorEastAsia"/>
          <w:b/>
          <w:sz w:val="24"/>
          <w:szCs w:val="24"/>
        </w:rPr>
      </w:pPr>
    </w:p>
    <w:p/>
    <w:p/>
    <w:p/>
    <w:p/>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9" w:type="first"/>
          <w:pgSz w:w="11907" w:h="16840"/>
          <w:pgMar w:top="1474" w:right="850" w:bottom="1474" w:left="1134" w:header="720" w:footer="720" w:gutter="0"/>
          <w:pgNumType w:start="1"/>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2" w:name="_Toc533775679"/>
      <w:r>
        <w:rPr>
          <w:rFonts w:hint="eastAsia"/>
          <w:b/>
          <w:sz w:val="32"/>
        </w:rPr>
        <w:t>1. 谈判响应书</w:t>
      </w:r>
      <w:bookmarkEnd w:id="22"/>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10"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3" w:name="_Toc533775680"/>
      <w:r>
        <w:rPr>
          <w:rFonts w:hint="eastAsia"/>
          <w:b/>
          <w:sz w:val="32"/>
        </w:rPr>
        <w:t>2．报价表</w:t>
      </w:r>
      <w:bookmarkEnd w:id="23"/>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936" w:type="dxa"/>
            <w:gridSpan w:val="11"/>
            <w:vAlign w:val="center"/>
          </w:tcPr>
          <w:p>
            <w:pPr>
              <w:spacing w:before="360"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11" w:type="default"/>
          <w:footerReference r:id="rId12"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4" w:name="_Toc533775681"/>
      <w:r>
        <w:rPr>
          <w:rFonts w:hint="eastAsia"/>
          <w:b/>
          <w:sz w:val="32"/>
        </w:rPr>
        <w:t>3．分项报价表</w:t>
      </w:r>
      <w:bookmarkEnd w:id="24"/>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2"/>
      <w:r>
        <w:rPr>
          <w:rFonts w:hint="eastAsia"/>
          <w:b/>
          <w:sz w:val="32"/>
        </w:rPr>
        <w:t>4</w:t>
      </w:r>
      <w:r>
        <w:rPr>
          <w:b/>
          <w:sz w:val="32"/>
        </w:rPr>
        <w:t>.</w:t>
      </w:r>
      <w:r>
        <w:rPr>
          <w:rFonts w:hint="eastAsia"/>
          <w:b/>
          <w:sz w:val="32"/>
        </w:rPr>
        <w:t xml:space="preserve"> 技术规格响应/偏离表</w:t>
      </w:r>
      <w:bookmarkEnd w:id="25"/>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3"/>
      <w:r>
        <w:rPr>
          <w:rFonts w:hint="eastAsia"/>
          <w:b/>
          <w:sz w:val="32"/>
        </w:rPr>
        <w:t>5</w:t>
      </w:r>
      <w:r>
        <w:rPr>
          <w:b/>
          <w:sz w:val="32"/>
        </w:rPr>
        <w:t>.</w:t>
      </w:r>
      <w:r>
        <w:rPr>
          <w:rFonts w:hint="eastAsia"/>
          <w:b/>
          <w:sz w:val="32"/>
        </w:rPr>
        <w:t xml:space="preserve"> 商务条款响应/偏离表</w:t>
      </w:r>
      <w:bookmarkEnd w:id="26"/>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156"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7" w:name="_Toc533775684"/>
      <w:r>
        <w:rPr>
          <w:rFonts w:hint="eastAsia"/>
          <w:b/>
          <w:sz w:val="32"/>
        </w:rPr>
        <w:t>6</w:t>
      </w:r>
      <w:r>
        <w:rPr>
          <w:b/>
          <w:sz w:val="32"/>
        </w:rPr>
        <w:t>.</w:t>
      </w:r>
      <w:r>
        <w:rPr>
          <w:rFonts w:hint="eastAsia"/>
          <w:b/>
          <w:sz w:val="32"/>
        </w:rPr>
        <w:t xml:space="preserve"> 其他证明资料</w:t>
      </w:r>
      <w:bookmarkEnd w:id="27"/>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8" w:name="_Toc475970091"/>
      <w:r>
        <w:rPr>
          <w:rFonts w:hint="eastAsia" w:asciiTheme="minorEastAsia" w:hAnsiTheme="minorEastAsia" w:eastAsiaTheme="minorEastAsia"/>
          <w:b/>
          <w:sz w:val="24"/>
          <w:szCs w:val="24"/>
        </w:rPr>
        <w:t>格式6-1. 供应商情况一览表</w:t>
      </w:r>
      <w:bookmarkEnd w:id="28"/>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9" w:name="_Toc475970092"/>
      <w:bookmarkStart w:id="30" w:name="_Toc461116134"/>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9"/>
      <w:bookmarkEnd w:id="30"/>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1" w:name="_Toc533775686"/>
      <w:r>
        <w:rPr>
          <w:rFonts w:hint="eastAsia"/>
          <w:b/>
          <w:sz w:val="32"/>
        </w:rPr>
        <w:t>7</w:t>
      </w:r>
      <w:r>
        <w:rPr>
          <w:b/>
          <w:sz w:val="32"/>
        </w:rPr>
        <w:t>.</w:t>
      </w:r>
      <w:r>
        <w:rPr>
          <w:rFonts w:hint="eastAsia"/>
          <w:b/>
          <w:sz w:val="32"/>
        </w:rPr>
        <w:t>技术文件</w:t>
      </w:r>
      <w:bookmarkEnd w:id="31"/>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3"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2" w:name="_Toc293934829"/>
      <w:bookmarkStart w:id="33" w:name="_Toc533775687"/>
      <w:r>
        <w:rPr>
          <w:rFonts w:hint="eastAsia"/>
          <w:b/>
          <w:sz w:val="32"/>
        </w:rPr>
        <w:t>8</w:t>
      </w:r>
      <w:r>
        <w:rPr>
          <w:b/>
          <w:sz w:val="32"/>
        </w:rPr>
        <w:t>.</w:t>
      </w:r>
      <w:bookmarkEnd w:id="32"/>
      <w:r>
        <w:rPr>
          <w:rFonts w:hint="eastAsia"/>
          <w:b/>
          <w:sz w:val="32"/>
        </w:rPr>
        <w:t>供应商应当提交的资格、资信证明文件</w:t>
      </w:r>
      <w:bookmarkEnd w:id="33"/>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240"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240"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4" w:type="default"/>
          <w:footerReference r:id="rId15"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4" w:name="_Toc262628298"/>
      <w:bookmarkStart w:id="35" w:name="_Toc262628299"/>
      <w:r>
        <w:rPr>
          <w:rFonts w:hint="eastAsia" w:asciiTheme="minorEastAsia" w:hAnsiTheme="minorEastAsia" w:eastAsiaTheme="minorEastAsia"/>
          <w:b/>
          <w:sz w:val="24"/>
          <w:szCs w:val="24"/>
        </w:rPr>
        <w:t>格式8-6.供应商的资格声明</w:t>
      </w:r>
      <w:bookmarkEnd w:id="34"/>
    </w:p>
    <w:p>
      <w:pPr>
        <w:spacing w:after="312"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5"/>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6" w:name="_Toc499477458"/>
      <w:bookmarkStart w:id="37" w:name="_Toc495487764"/>
      <w:r>
        <w:rPr>
          <w:rFonts w:hint="eastAsia" w:asciiTheme="minorEastAsia" w:hAnsiTheme="minorEastAsia" w:eastAsiaTheme="minorEastAsia"/>
          <w:b/>
          <w:sz w:val="24"/>
          <w:szCs w:val="24"/>
        </w:rPr>
        <w:t>8-7.其他资格证明文件</w:t>
      </w:r>
      <w:bookmarkEnd w:id="36"/>
      <w:bookmarkEnd w:id="37"/>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6"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1087"/>
    </w:sdtPr>
    <w:sdtContent>
      <w:p>
        <w:pPr>
          <w:pStyle w:val="12"/>
          <w:jc w:val="center"/>
        </w:pP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15</w:t>
    </w:r>
    <w:r>
      <w:rPr>
        <w:rStyle w:val="21"/>
      </w:rPr>
      <w:fldChar w:fldCharType="end"/>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20</w:t>
    </w:r>
    <w:r>
      <w:rPr>
        <w:rStyle w:val="21"/>
      </w:rPr>
      <w:fldChar w:fldCharType="end"/>
    </w:r>
  </w:p>
  <w:p>
    <w:pPr>
      <w:pStyle w:val="12"/>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25</w:t>
    </w:r>
    <w:r>
      <w:rPr>
        <w:rStyle w:val="21"/>
      </w:rPr>
      <w:fldChar w:fldCharType="end"/>
    </w:r>
  </w:p>
  <w:p>
    <w:pPr>
      <w:pStyle w:val="1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066E"/>
    <w:multiLevelType w:val="multilevel"/>
    <w:tmpl w:val="09B8066E"/>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0C52"/>
    <w:rsid w:val="00062EC7"/>
    <w:rsid w:val="0008464A"/>
    <w:rsid w:val="000B0F07"/>
    <w:rsid w:val="000E59B1"/>
    <w:rsid w:val="0016252E"/>
    <w:rsid w:val="001D45E0"/>
    <w:rsid w:val="001D639B"/>
    <w:rsid w:val="001F265F"/>
    <w:rsid w:val="001F6F82"/>
    <w:rsid w:val="00241EC0"/>
    <w:rsid w:val="00243259"/>
    <w:rsid w:val="002529E7"/>
    <w:rsid w:val="002823A6"/>
    <w:rsid w:val="0029312F"/>
    <w:rsid w:val="0029334A"/>
    <w:rsid w:val="002F0C52"/>
    <w:rsid w:val="003150DA"/>
    <w:rsid w:val="00320237"/>
    <w:rsid w:val="0037103C"/>
    <w:rsid w:val="003C3981"/>
    <w:rsid w:val="003D7CBF"/>
    <w:rsid w:val="00470E9F"/>
    <w:rsid w:val="004E1D77"/>
    <w:rsid w:val="004F57EE"/>
    <w:rsid w:val="00595898"/>
    <w:rsid w:val="005970B0"/>
    <w:rsid w:val="005A1707"/>
    <w:rsid w:val="005C1514"/>
    <w:rsid w:val="00606F17"/>
    <w:rsid w:val="0068322F"/>
    <w:rsid w:val="006A6165"/>
    <w:rsid w:val="006B2115"/>
    <w:rsid w:val="007054CD"/>
    <w:rsid w:val="007F33BD"/>
    <w:rsid w:val="00887C6A"/>
    <w:rsid w:val="008C2489"/>
    <w:rsid w:val="008C31FC"/>
    <w:rsid w:val="008C3ADA"/>
    <w:rsid w:val="00946E9E"/>
    <w:rsid w:val="009A2756"/>
    <w:rsid w:val="00A2769E"/>
    <w:rsid w:val="00A574FA"/>
    <w:rsid w:val="00B1204C"/>
    <w:rsid w:val="00B31A76"/>
    <w:rsid w:val="00B85BCD"/>
    <w:rsid w:val="00BA54A1"/>
    <w:rsid w:val="00BD0040"/>
    <w:rsid w:val="00BD7DFC"/>
    <w:rsid w:val="00BF161C"/>
    <w:rsid w:val="00C41E97"/>
    <w:rsid w:val="00CE5392"/>
    <w:rsid w:val="00E113B0"/>
    <w:rsid w:val="00E15027"/>
    <w:rsid w:val="00E87C1E"/>
    <w:rsid w:val="00EC53FE"/>
    <w:rsid w:val="00F138FE"/>
    <w:rsid w:val="00F204CC"/>
    <w:rsid w:val="00F66CFE"/>
    <w:rsid w:val="00F7786A"/>
    <w:rsid w:val="01942A70"/>
    <w:rsid w:val="01B05856"/>
    <w:rsid w:val="020413E9"/>
    <w:rsid w:val="03A25835"/>
    <w:rsid w:val="03DB0C15"/>
    <w:rsid w:val="03FD2E79"/>
    <w:rsid w:val="05A259F1"/>
    <w:rsid w:val="06434357"/>
    <w:rsid w:val="070E6022"/>
    <w:rsid w:val="08EE4DCE"/>
    <w:rsid w:val="09C507CE"/>
    <w:rsid w:val="0CAB6F5D"/>
    <w:rsid w:val="0D114D25"/>
    <w:rsid w:val="0DBF66E3"/>
    <w:rsid w:val="0E161F02"/>
    <w:rsid w:val="10204D80"/>
    <w:rsid w:val="11D94061"/>
    <w:rsid w:val="136F081D"/>
    <w:rsid w:val="15C21D0E"/>
    <w:rsid w:val="185F2E14"/>
    <w:rsid w:val="1967240D"/>
    <w:rsid w:val="1CE11745"/>
    <w:rsid w:val="210C2343"/>
    <w:rsid w:val="21152A38"/>
    <w:rsid w:val="21B40E5C"/>
    <w:rsid w:val="24326DF1"/>
    <w:rsid w:val="2787664C"/>
    <w:rsid w:val="29A84304"/>
    <w:rsid w:val="2EA451BE"/>
    <w:rsid w:val="2F0C4AC8"/>
    <w:rsid w:val="350230B9"/>
    <w:rsid w:val="35A6339D"/>
    <w:rsid w:val="37285450"/>
    <w:rsid w:val="37513ABD"/>
    <w:rsid w:val="37A06090"/>
    <w:rsid w:val="37D35675"/>
    <w:rsid w:val="37DF52E0"/>
    <w:rsid w:val="3C8461D9"/>
    <w:rsid w:val="3D352B6C"/>
    <w:rsid w:val="3DB86EC2"/>
    <w:rsid w:val="3E36565C"/>
    <w:rsid w:val="3F566DB0"/>
    <w:rsid w:val="3FCA2222"/>
    <w:rsid w:val="40044169"/>
    <w:rsid w:val="415D7ECA"/>
    <w:rsid w:val="427450A4"/>
    <w:rsid w:val="44AC07D5"/>
    <w:rsid w:val="48E55349"/>
    <w:rsid w:val="4AD203D4"/>
    <w:rsid w:val="516E09AF"/>
    <w:rsid w:val="517609C6"/>
    <w:rsid w:val="51B96CC5"/>
    <w:rsid w:val="554928E5"/>
    <w:rsid w:val="55B67588"/>
    <w:rsid w:val="57C61663"/>
    <w:rsid w:val="583C7324"/>
    <w:rsid w:val="586918F9"/>
    <w:rsid w:val="5AD7610B"/>
    <w:rsid w:val="5AE1172E"/>
    <w:rsid w:val="5F482BBC"/>
    <w:rsid w:val="608B564A"/>
    <w:rsid w:val="629C7D87"/>
    <w:rsid w:val="63470076"/>
    <w:rsid w:val="6381334D"/>
    <w:rsid w:val="69BB711F"/>
    <w:rsid w:val="6E1A7D9B"/>
    <w:rsid w:val="6F066E31"/>
    <w:rsid w:val="6F9643A5"/>
    <w:rsid w:val="700A6127"/>
    <w:rsid w:val="70C732DF"/>
    <w:rsid w:val="7189237A"/>
    <w:rsid w:val="71B205C1"/>
    <w:rsid w:val="71C93182"/>
    <w:rsid w:val="73192E1A"/>
    <w:rsid w:val="73E877E6"/>
    <w:rsid w:val="76CC54CB"/>
    <w:rsid w:val="77855D8E"/>
    <w:rsid w:val="77A607E9"/>
    <w:rsid w:val="7B4E2D2D"/>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rFonts w:ascii="Times New Roman" w:hAnsi="Times New Roman" w:eastAsia="宋体" w:cs="Times New Roman"/>
      <w:b/>
      <w:bCs/>
      <w:szCs w:val="20"/>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仿宋_GB2312" w:eastAsia="仿宋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7C2CC-881C-4F87-9A7F-E3D7301B91D1}">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28</Pages>
  <Words>1590</Words>
  <Characters>9067</Characters>
  <Lines>75</Lines>
  <Paragraphs>21</Paragraphs>
  <TotalTime>5</TotalTime>
  <ScaleCrop>false</ScaleCrop>
  <LinksUpToDate>false</LinksUpToDate>
  <CharactersWithSpaces>10636</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cp:lastPrinted>2019-04-04T00:00:00Z</cp:lastPrinted>
  <dcterms:modified xsi:type="dcterms:W3CDTF">2019-04-04T01:53:53Z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