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eastAsiaTheme="minorEastAsia"/>
          <w:sz w:val="80"/>
          <w:szCs w:val="80"/>
        </w:rPr>
      </w:pPr>
    </w:p>
    <w:p>
      <w:pPr>
        <w:ind w:firstLine="539"/>
        <w:jc w:val="center"/>
        <w:rPr>
          <w:rFonts w:asciiTheme="minorEastAsia" w:hAnsiTheme="minorEastAsia" w:eastAsiaTheme="minorEastAsia"/>
          <w:sz w:val="80"/>
          <w:szCs w:val="80"/>
        </w:rPr>
      </w:pPr>
      <w:r>
        <w:rPr>
          <w:rFonts w:hint="eastAsia" w:asciiTheme="minorEastAsia" w:hAnsiTheme="minorEastAsia" w:eastAsiaTheme="minorEastAsia"/>
          <w:sz w:val="80"/>
          <w:szCs w:val="80"/>
        </w:rPr>
        <w:t>竞争性谈判文件</w:t>
      </w:r>
    </w:p>
    <w:p>
      <w:pPr>
        <w:ind w:firstLine="3520" w:firstLineChars="1100"/>
        <w:rPr>
          <w:rFonts w:asciiTheme="minorEastAsia" w:hAnsiTheme="minorEastAsia" w:eastAsiaTheme="minorEastAsia"/>
          <w:sz w:val="32"/>
          <w:szCs w:val="32"/>
        </w:rPr>
      </w:pPr>
    </w:p>
    <w:p>
      <w:pPr>
        <w:ind w:firstLine="1920" w:firstLineChars="400"/>
        <w:rPr>
          <w:rFonts w:asciiTheme="minorEastAsia" w:hAnsiTheme="minorEastAsia" w:eastAsiaTheme="minorEastAsia"/>
          <w:sz w:val="48"/>
          <w:szCs w:val="48"/>
        </w:rPr>
      </w:pPr>
    </w:p>
    <w:p>
      <w:pPr>
        <w:ind w:firstLine="1920" w:firstLineChars="400"/>
        <w:rPr>
          <w:rFonts w:asciiTheme="minorEastAsia" w:hAnsiTheme="minorEastAsia" w:eastAsiaTheme="minorEastAsia"/>
          <w:sz w:val="48"/>
          <w:szCs w:val="48"/>
        </w:rPr>
      </w:pPr>
    </w:p>
    <w:p>
      <w:pPr>
        <w:rPr>
          <w:rFonts w:asciiTheme="minorEastAsia" w:hAnsiTheme="minorEastAsia" w:eastAsiaTheme="minorEastAsia"/>
          <w:sz w:val="48"/>
          <w:szCs w:val="48"/>
        </w:rPr>
      </w:pPr>
    </w:p>
    <w:p>
      <w:pPr>
        <w:ind w:firstLine="1285" w:firstLineChars="400"/>
        <w:rPr>
          <w:rFonts w:eastAsia="黑体"/>
          <w:b/>
          <w:bCs/>
          <w:sz w:val="32"/>
        </w:rPr>
      </w:pPr>
      <w:r>
        <w:rPr>
          <w:rFonts w:hint="eastAsia" w:eastAsia="黑体"/>
          <w:b/>
          <w:bCs/>
          <w:sz w:val="32"/>
        </w:rPr>
        <w:t>项目名称：赣州市人民医院2019年</w:t>
      </w:r>
      <w:r>
        <w:rPr>
          <w:rFonts w:hint="eastAsia" w:eastAsia="黑体"/>
          <w:b/>
          <w:bCs/>
          <w:sz w:val="32"/>
          <w:lang w:eastAsia="zh-CN"/>
        </w:rPr>
        <w:t>监护仪</w:t>
      </w:r>
      <w:r>
        <w:rPr>
          <w:rFonts w:hint="eastAsia" w:eastAsia="黑体"/>
          <w:b/>
          <w:bCs/>
          <w:sz w:val="32"/>
        </w:rPr>
        <w:t>配件</w:t>
      </w:r>
      <w:r>
        <w:rPr>
          <w:rFonts w:hint="eastAsia" w:eastAsia="黑体"/>
          <w:b/>
          <w:bCs/>
          <w:sz w:val="32"/>
          <w:lang w:eastAsia="zh-CN"/>
        </w:rPr>
        <w:t>采购项目</w:t>
      </w:r>
      <w:r>
        <w:rPr>
          <w:rFonts w:hint="default" w:eastAsia="黑体"/>
          <w:b/>
          <w:bCs/>
          <w:sz w:val="32"/>
          <w:lang w:val="en-US"/>
        </w:rPr>
        <w:t xml:space="preserve">                     </w:t>
      </w:r>
    </w:p>
    <w:p>
      <w:pPr>
        <w:spacing w:line="480" w:lineRule="auto"/>
        <w:rPr>
          <w:rFonts w:hint="default" w:eastAsia="黑体"/>
          <w:b w:val="0"/>
          <w:bCs w:val="0"/>
          <w:sz w:val="32"/>
          <w:lang w:val="en-US"/>
        </w:rPr>
      </w:pPr>
      <w:r>
        <w:rPr>
          <w:rFonts w:hint="default" w:eastAsia="黑体"/>
          <w:b/>
          <w:bCs/>
          <w:sz w:val="32"/>
          <w:lang w:val="en-US"/>
        </w:rPr>
        <w:t xml:space="preserve">     </w:t>
      </w:r>
      <w:r>
        <w:rPr>
          <w:rFonts w:hint="default" w:eastAsia="黑体"/>
          <w:b w:val="0"/>
          <w:bCs w:val="0"/>
          <w:sz w:val="32"/>
          <w:lang w:val="en-US"/>
        </w:rPr>
        <w:t xml:space="preserve">             </w:t>
      </w:r>
    </w:p>
    <w:p>
      <w:pPr>
        <w:spacing w:line="480" w:lineRule="auto"/>
        <w:rPr>
          <w:rFonts w:hint="default" w:eastAsia="黑体"/>
          <w:b w:val="0"/>
          <w:bCs w:val="0"/>
          <w:sz w:val="32"/>
          <w:lang w:val="en-US"/>
        </w:rPr>
      </w:pPr>
    </w:p>
    <w:p>
      <w:pPr>
        <w:spacing w:line="480" w:lineRule="auto"/>
        <w:ind w:firstLine="1257" w:firstLineChars="393"/>
        <w:rPr>
          <w:rFonts w:hint="default" w:eastAsia="黑体"/>
          <w:b w:val="0"/>
          <w:bCs w:val="0"/>
          <w:color w:val="auto"/>
          <w:sz w:val="32"/>
          <w:lang w:val="en-US" w:eastAsia="zh-CN"/>
        </w:rPr>
      </w:pPr>
      <w:r>
        <w:rPr>
          <w:rFonts w:hint="eastAsia" w:eastAsia="黑体"/>
          <w:b w:val="0"/>
          <w:bCs w:val="0"/>
          <w:color w:val="auto"/>
          <w:sz w:val="32"/>
        </w:rPr>
        <w:t>项目编号：</w:t>
      </w:r>
      <w:r>
        <w:rPr>
          <w:rFonts w:hint="eastAsia" w:eastAsia="黑体"/>
          <w:b w:val="0"/>
          <w:bCs w:val="0"/>
          <w:color w:val="auto"/>
          <w:sz w:val="32"/>
          <w:lang w:val="en-US" w:eastAsia="zh-CN"/>
        </w:rPr>
        <w:t>YN2019-011</w:t>
      </w:r>
    </w:p>
    <w:p>
      <w:pPr>
        <w:spacing w:line="480" w:lineRule="auto"/>
        <w:rPr>
          <w:rFonts w:asciiTheme="minorEastAsia" w:hAnsiTheme="minorEastAsia" w:eastAsiaTheme="minorEastAsia"/>
          <w:color w:val="auto"/>
          <w:sz w:val="48"/>
        </w:rPr>
      </w:pPr>
      <w:bookmarkStart w:id="38" w:name="_GoBack"/>
      <w:bookmarkEnd w:id="38"/>
    </w:p>
    <w:p>
      <w:pPr>
        <w:spacing w:line="480" w:lineRule="auto"/>
        <w:jc w:val="center"/>
        <w:rPr>
          <w:rFonts w:asciiTheme="minorEastAsia" w:hAnsiTheme="minorEastAsia" w:eastAsiaTheme="minorEastAsia"/>
          <w:sz w:val="48"/>
        </w:rPr>
      </w:pPr>
    </w:p>
    <w:p>
      <w:pPr>
        <w:spacing w:line="480" w:lineRule="auto"/>
        <w:jc w:val="center"/>
        <w:rPr>
          <w:rFonts w:asciiTheme="minorEastAsia" w:hAnsiTheme="minorEastAsia" w:eastAsiaTheme="minorEastAsia"/>
          <w:color w:val="auto"/>
          <w:sz w:val="48"/>
        </w:rPr>
      </w:pPr>
    </w:p>
    <w:p>
      <w:pPr>
        <w:jc w:val="center"/>
        <w:rPr>
          <w:rFonts w:eastAsia="黑体"/>
          <w:b/>
          <w:bCs/>
          <w:color w:val="auto"/>
          <w:sz w:val="32"/>
        </w:rPr>
      </w:pPr>
      <w:r>
        <w:rPr>
          <w:rFonts w:hint="eastAsia" w:eastAsia="黑体"/>
          <w:b/>
          <w:bCs/>
          <w:color w:val="auto"/>
          <w:sz w:val="32"/>
        </w:rPr>
        <w:t>赣州市人民医院</w:t>
      </w:r>
    </w:p>
    <w:p>
      <w:pPr>
        <w:jc w:val="center"/>
        <w:rPr>
          <w:rFonts w:eastAsia="黑体"/>
          <w:b/>
          <w:bCs/>
          <w:color w:val="auto"/>
          <w:sz w:val="32"/>
        </w:rPr>
      </w:pPr>
    </w:p>
    <w:p>
      <w:pPr>
        <w:jc w:val="center"/>
        <w:rPr>
          <w:rFonts w:asciiTheme="minorEastAsia" w:hAnsiTheme="minorEastAsia" w:eastAsiaTheme="minorEastAsia"/>
          <w:b/>
          <w:sz w:val="36"/>
        </w:rPr>
      </w:pPr>
      <w:r>
        <w:rPr>
          <w:rFonts w:hint="eastAsia" w:eastAsia="黑体"/>
          <w:b/>
          <w:bCs/>
          <w:color w:val="auto"/>
          <w:sz w:val="32"/>
        </w:rPr>
        <w:t>二0一九年</w:t>
      </w:r>
      <w:r>
        <w:rPr>
          <w:rFonts w:hint="eastAsia" w:eastAsia="黑体"/>
          <w:b/>
          <w:bCs/>
          <w:color w:val="auto"/>
          <w:sz w:val="32"/>
          <w:lang w:eastAsia="zh-CN"/>
        </w:rPr>
        <w:t>四</w:t>
      </w:r>
      <w:r>
        <w:rPr>
          <w:rFonts w:hint="eastAsia" w:eastAsia="黑体"/>
          <w:b/>
          <w:bCs/>
          <w:color w:val="auto"/>
          <w:sz w:val="32"/>
        </w:rPr>
        <w:t>月</w:t>
      </w:r>
      <w:r>
        <w:rPr>
          <w:rFonts w:hint="eastAsia" w:eastAsia="黑体"/>
          <w:b/>
          <w:bCs/>
          <w:color w:val="auto"/>
          <w:sz w:val="32"/>
          <w:lang w:eastAsia="zh-CN"/>
        </w:rPr>
        <w:t>十一</w:t>
      </w:r>
      <w:r>
        <w:rPr>
          <w:rFonts w:hint="eastAsia" w:eastAsia="黑体"/>
          <w:b/>
          <w:bCs/>
          <w:color w:val="auto"/>
          <w:sz w:val="32"/>
        </w:rPr>
        <w:t>日</w:t>
      </w:r>
      <w:r>
        <w:rPr>
          <w:rFonts w:asciiTheme="minorEastAsia" w:hAnsiTheme="minorEastAsia" w:eastAsiaTheme="minorEastAsia"/>
          <w:b/>
          <w:sz w:val="36"/>
        </w:rPr>
        <w:br w:type="page"/>
      </w:r>
    </w:p>
    <w:p>
      <w:pPr>
        <w:adjustRightInd w:val="0"/>
        <w:snapToGrid w:val="0"/>
        <w:spacing w:line="560" w:lineRule="exact"/>
        <w:ind w:left="-2" w:firstLine="538"/>
        <w:jc w:val="center"/>
        <w:rPr>
          <w:rFonts w:asciiTheme="minorEastAsia" w:hAnsiTheme="minorEastAsia" w:eastAsiaTheme="minorEastAsia"/>
          <w:bCs/>
          <w:sz w:val="52"/>
        </w:rPr>
      </w:pPr>
      <w:r>
        <w:rPr>
          <w:rFonts w:hint="eastAsia" w:asciiTheme="minorEastAsia" w:hAnsiTheme="minorEastAsia" w:eastAsiaTheme="minorEastAsia"/>
          <w:bCs/>
          <w:sz w:val="52"/>
        </w:rPr>
        <w:t>目录</w:t>
      </w:r>
    </w:p>
    <w:p>
      <w:pPr>
        <w:adjustRightInd w:val="0"/>
        <w:snapToGrid w:val="0"/>
        <w:spacing w:line="560" w:lineRule="exact"/>
        <w:ind w:left="-2" w:firstLine="538"/>
        <w:jc w:val="center"/>
        <w:rPr>
          <w:rFonts w:asciiTheme="minorEastAsia" w:hAnsiTheme="minorEastAsia" w:eastAsiaTheme="minorEastAsia"/>
          <w:bCs/>
          <w:sz w:val="52"/>
        </w:rPr>
      </w:pPr>
    </w:p>
    <w:p>
      <w:pPr>
        <w:adjustRightInd w:val="0"/>
        <w:snapToGrid w:val="0"/>
        <w:spacing w:line="560" w:lineRule="exact"/>
        <w:ind w:left="-2" w:firstLine="538"/>
        <w:jc w:val="center"/>
        <w:rPr>
          <w:rFonts w:asciiTheme="minorEastAsia" w:hAnsiTheme="minorEastAsia" w:eastAsiaTheme="minorEastAsia"/>
          <w:bCs/>
          <w:sz w:val="52"/>
        </w:rPr>
      </w:pPr>
    </w:p>
    <w:p>
      <w:pPr>
        <w:pStyle w:val="14"/>
        <w:ind w:firstLine="420"/>
        <w:rPr>
          <w:rFonts w:asciiTheme="minorHAnsi" w:hAnsiTheme="minorHAnsi" w:eastAsiaTheme="minorEastAsia" w:cstheme="minorBidi"/>
          <w:b w:val="0"/>
          <w:szCs w:val="22"/>
        </w:rPr>
      </w:pPr>
      <w:r>
        <w:rPr>
          <w:rStyle w:val="22"/>
          <w:rFonts w:asciiTheme="minorEastAsia" w:hAnsiTheme="minorEastAsia" w:eastAsiaTheme="minorEastAsia"/>
          <w:b w:val="0"/>
          <w:color w:val="auto"/>
          <w:shd w:val="pct10" w:color="auto" w:fill="FFFFFF"/>
        </w:rPr>
        <w:fldChar w:fldCharType="begin"/>
      </w:r>
      <w:r>
        <w:rPr>
          <w:rStyle w:val="22"/>
          <w:rFonts w:hint="eastAsia" w:asciiTheme="minorEastAsia" w:hAnsiTheme="minorEastAsia" w:eastAsiaTheme="minorEastAsia"/>
          <w:b w:val="0"/>
          <w:color w:val="auto"/>
          <w:shd w:val="pct10" w:color="auto" w:fill="FFFFFF"/>
        </w:rPr>
        <w:instrText xml:space="preserve">TOC \o "1-3" \h \z \u</w:instrText>
      </w:r>
      <w:r>
        <w:rPr>
          <w:rStyle w:val="22"/>
          <w:rFonts w:asciiTheme="minorEastAsia" w:hAnsiTheme="minorEastAsia" w:eastAsiaTheme="minorEastAsia"/>
          <w:b w:val="0"/>
          <w:color w:val="auto"/>
          <w:shd w:val="pct10" w:color="auto" w:fill="FFFFFF"/>
        </w:rPr>
        <w:fldChar w:fldCharType="separate"/>
      </w:r>
      <w:r>
        <w:fldChar w:fldCharType="begin"/>
      </w:r>
      <w:r>
        <w:instrText xml:space="preserve"> HYPERLINK \l "_Toc533775662" </w:instrText>
      </w:r>
      <w:r>
        <w:fldChar w:fldCharType="separate"/>
      </w:r>
      <w:r>
        <w:rPr>
          <w:rStyle w:val="22"/>
          <w:rFonts w:hint="eastAsia"/>
          <w:color w:val="auto"/>
        </w:rPr>
        <w:t>第一章　谈判公告</w:t>
      </w:r>
      <w:r>
        <w:tab/>
      </w:r>
      <w:r>
        <w:fldChar w:fldCharType="begin"/>
      </w:r>
      <w:r>
        <w:instrText xml:space="preserve"> PAGEREF _Toc533775662 \h </w:instrText>
      </w:r>
      <w:r>
        <w:fldChar w:fldCharType="separate"/>
      </w:r>
      <w:r>
        <w:t>1</w:t>
      </w:r>
      <w:r>
        <w:fldChar w:fldCharType="end"/>
      </w:r>
      <w:r>
        <w:fldChar w:fldCharType="end"/>
      </w:r>
    </w:p>
    <w:p>
      <w:pPr>
        <w:pStyle w:val="14"/>
        <w:ind w:left="0" w:leftChars="0" w:firstLine="0" w:firstLineChars="0"/>
        <w:rPr>
          <w:rFonts w:hint="eastAsia" w:eastAsia="宋体"/>
          <w:lang w:eastAsia="zh-CN"/>
        </w:rPr>
      </w:pPr>
    </w:p>
    <w:p/>
    <w:p>
      <w:pPr>
        <w:pStyle w:val="14"/>
        <w:rPr>
          <w:rFonts w:hint="eastAsia"/>
        </w:rPr>
      </w:pPr>
      <w:r>
        <w:rPr>
          <w:rStyle w:val="22"/>
          <w:rFonts w:hint="eastAsia"/>
          <w:color w:val="auto"/>
          <w:szCs w:val="22"/>
        </w:rPr>
        <w:t>一、采购项目需求</w:t>
      </w:r>
      <w:r>
        <w:fldChar w:fldCharType="begin"/>
      </w:r>
      <w:r>
        <w:instrText xml:space="preserve"> HYPERLINK \l "_Toc533775666" </w:instrText>
      </w:r>
      <w:r>
        <w:fldChar w:fldCharType="separate"/>
      </w:r>
      <w:r>
        <w:tab/>
      </w:r>
      <w:r>
        <w:rPr>
          <w:rFonts w:hint="eastAsia"/>
          <w:lang w:val="en-US" w:eastAsia="zh-CN"/>
        </w:rPr>
        <w:t>3</w:t>
      </w:r>
      <w:r>
        <w:rPr>
          <w:rFonts w:hint="eastAsia"/>
        </w:rPr>
        <w:fldChar w:fldCharType="end"/>
      </w:r>
    </w:p>
    <w:p/>
    <w:p>
      <w:pPr>
        <w:pStyle w:val="14"/>
        <w:rPr>
          <w:rFonts w:hint="eastAsia"/>
        </w:rPr>
      </w:pPr>
      <w:r>
        <w:fldChar w:fldCharType="begin"/>
      </w:r>
      <w:r>
        <w:instrText xml:space="preserve"> HYPERLINK \l "_Toc533775668" </w:instrText>
      </w:r>
      <w:r>
        <w:fldChar w:fldCharType="separate"/>
      </w:r>
      <w:r>
        <w:rPr>
          <w:rStyle w:val="22"/>
          <w:rFonts w:hint="eastAsia"/>
          <w:color w:val="auto"/>
        </w:rPr>
        <w:t>二、响应文件的编制</w:t>
      </w:r>
      <w:r>
        <w:tab/>
      </w:r>
      <w:r>
        <w:rPr>
          <w:rFonts w:hint="eastAsia"/>
          <w:lang w:val="en-US" w:eastAsia="zh-CN"/>
        </w:rPr>
        <w:t>4</w:t>
      </w:r>
      <w:r>
        <w:rPr>
          <w:rFonts w:hint="eastAsia"/>
        </w:rPr>
        <w:fldChar w:fldCharType="end"/>
      </w:r>
    </w:p>
    <w:p/>
    <w:p>
      <w:pPr>
        <w:pStyle w:val="14"/>
        <w:rPr>
          <w:rFonts w:hint="eastAsia"/>
        </w:rPr>
      </w:pPr>
      <w:r>
        <w:rPr>
          <w:rFonts w:hint="eastAsia"/>
        </w:rPr>
        <w:t>三</w:t>
      </w:r>
      <w:r>
        <w:fldChar w:fldCharType="begin"/>
      </w:r>
      <w:r>
        <w:instrText xml:space="preserve"> HYPERLINK \l "_Toc533775670" </w:instrText>
      </w:r>
      <w:r>
        <w:fldChar w:fldCharType="separate"/>
      </w:r>
      <w:r>
        <w:rPr>
          <w:rStyle w:val="22"/>
          <w:rFonts w:hint="eastAsia"/>
          <w:color w:val="auto"/>
        </w:rPr>
        <w:t>、谈判</w:t>
      </w:r>
      <w:r>
        <w:tab/>
      </w:r>
      <w:r>
        <w:rPr>
          <w:rFonts w:hint="eastAsia"/>
        </w:rPr>
        <w:t>7</w:t>
      </w:r>
      <w:r>
        <w:rPr>
          <w:rFonts w:hint="eastAsia"/>
        </w:rPr>
        <w:fldChar w:fldCharType="end"/>
      </w:r>
    </w:p>
    <w:p/>
    <w:p>
      <w:pPr>
        <w:pStyle w:val="14"/>
      </w:pPr>
      <w:r>
        <w:fldChar w:fldCharType="begin"/>
      </w:r>
      <w:r>
        <w:instrText xml:space="preserve"> HYPERLINK \l "_Toc533775677" </w:instrText>
      </w:r>
      <w:r>
        <w:fldChar w:fldCharType="separate"/>
      </w:r>
      <w:r>
        <w:rPr>
          <w:rStyle w:val="22"/>
          <w:rFonts w:hint="eastAsia"/>
          <w:color w:val="auto"/>
        </w:rPr>
        <w:t>第三章　合同草案</w:t>
      </w:r>
      <w:r>
        <w:tab/>
      </w:r>
      <w:r>
        <w:fldChar w:fldCharType="begin"/>
      </w:r>
      <w:r>
        <w:instrText xml:space="preserve"> PAGEREF _Toc533775677 \h </w:instrText>
      </w:r>
      <w:r>
        <w:fldChar w:fldCharType="separate"/>
      </w:r>
      <w:r>
        <w:rPr>
          <w:rFonts w:hint="eastAsia"/>
        </w:rPr>
        <w:t>1</w:t>
      </w:r>
      <w:r>
        <w:t>0</w:t>
      </w:r>
      <w:r>
        <w:fldChar w:fldCharType="end"/>
      </w:r>
      <w:r>
        <w:fldChar w:fldCharType="end"/>
      </w:r>
    </w:p>
    <w:p/>
    <w:p>
      <w:pPr>
        <w:pStyle w:val="14"/>
        <w:rPr>
          <w:rFonts w:asciiTheme="minorHAnsi" w:hAnsiTheme="minorHAnsi" w:eastAsiaTheme="minorEastAsia" w:cstheme="minorBidi"/>
          <w:b w:val="0"/>
          <w:szCs w:val="22"/>
        </w:rPr>
      </w:pPr>
      <w:r>
        <w:fldChar w:fldCharType="begin"/>
      </w:r>
      <w:r>
        <w:instrText xml:space="preserve"> HYPERLINK \l "_Toc533775678" </w:instrText>
      </w:r>
      <w:r>
        <w:fldChar w:fldCharType="separate"/>
      </w:r>
      <w:r>
        <w:rPr>
          <w:rStyle w:val="22"/>
          <w:rFonts w:hint="eastAsia"/>
          <w:color w:val="auto"/>
        </w:rPr>
        <w:t>附件响应文件格式</w:t>
      </w:r>
      <w:r>
        <w:tab/>
      </w:r>
      <w:r>
        <w:rPr>
          <w:rFonts w:hint="eastAsia"/>
        </w:rPr>
        <w:t>1</w:t>
      </w:r>
      <w:r>
        <w:fldChar w:fldCharType="begin"/>
      </w:r>
      <w:r>
        <w:instrText xml:space="preserve"> PAGEREF _Toc533775678 \h </w:instrText>
      </w:r>
      <w:r>
        <w:fldChar w:fldCharType="separate"/>
      </w:r>
      <w:r>
        <w:t>2</w:t>
      </w:r>
      <w:r>
        <w:fldChar w:fldCharType="end"/>
      </w:r>
      <w:r>
        <w:fldChar w:fldCharType="end"/>
      </w:r>
    </w:p>
    <w:p>
      <w:pPr>
        <w:pStyle w:val="14"/>
        <w:ind w:firstLine="420"/>
        <w:rPr>
          <w:rFonts w:asciiTheme="minorHAnsi" w:hAnsiTheme="minorHAnsi" w:eastAsiaTheme="minorEastAsia" w:cstheme="minorBidi"/>
          <w:b w:val="0"/>
          <w:szCs w:val="22"/>
        </w:rPr>
      </w:pPr>
    </w:p>
    <w:p>
      <w:pPr>
        <w:pStyle w:val="14"/>
        <w:ind w:firstLine="420"/>
        <w:rPr>
          <w:rStyle w:val="22"/>
          <w:rFonts w:asciiTheme="minorEastAsia" w:hAnsiTheme="minorEastAsia" w:eastAsiaTheme="minorEastAsia"/>
          <w:b w:val="0"/>
          <w:color w:val="auto"/>
        </w:rPr>
      </w:pPr>
      <w:r>
        <w:rPr>
          <w:rStyle w:val="22"/>
          <w:rFonts w:asciiTheme="minorEastAsia" w:hAnsiTheme="minorEastAsia" w:eastAsiaTheme="minorEastAsia"/>
          <w:b w:val="0"/>
          <w:color w:val="auto"/>
          <w:shd w:val="pct10" w:color="auto" w:fill="FFFFFF"/>
        </w:rPr>
        <w:fldChar w:fldCharType="end"/>
      </w:r>
    </w:p>
    <w:p>
      <w:pPr>
        <w:pStyle w:val="14"/>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sectPr>
          <w:footerReference r:id="rId6" w:type="first"/>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p>
    <w:p>
      <w:pPr>
        <w:pStyle w:val="2"/>
        <w:spacing w:before="240" w:after="240"/>
        <w:jc w:val="center"/>
        <w:rPr>
          <w:rFonts w:hint="eastAsia" w:ascii="宋体" w:hAnsi="宋体" w:eastAsia="宋体" w:cs="宋体"/>
          <w:sz w:val="30"/>
          <w:szCs w:val="30"/>
        </w:rPr>
      </w:pPr>
      <w:bookmarkStart w:id="0" w:name="_Toc533775662"/>
      <w:r>
        <w:rPr>
          <w:rFonts w:hint="eastAsia"/>
          <w:b/>
          <w:sz w:val="32"/>
        </w:rPr>
        <w:t>第一章　谈判</w:t>
      </w:r>
      <w:bookmarkEnd w:id="0"/>
      <w:r>
        <w:rPr>
          <w:rFonts w:hint="eastAsia"/>
          <w:b/>
          <w:sz w:val="32"/>
        </w:rPr>
        <w:t>公告</w:t>
      </w:r>
    </w:p>
    <w:p>
      <w:pPr>
        <w:keepNext w:val="0"/>
        <w:keepLines w:val="0"/>
        <w:pageBreakBefore w:val="0"/>
        <w:widowControl w:val="0"/>
        <w:kinsoku/>
        <w:wordWrap/>
        <w:overflowPunct/>
        <w:topLinePunct w:val="0"/>
        <w:autoSpaceDE/>
        <w:autoSpaceDN/>
        <w:bidi w:val="0"/>
        <w:adjustRightInd/>
        <w:snapToGrid/>
        <w:spacing w:line="460" w:lineRule="exact"/>
        <w:ind w:firstLine="600" w:firstLineChars="200"/>
        <w:textAlignment w:val="auto"/>
        <w:rPr>
          <w:rFonts w:ascii="宋体" w:hAnsi="宋体" w:cs="宋体"/>
          <w:b w:val="0"/>
          <w:bCs w:val="0"/>
          <w:sz w:val="30"/>
          <w:szCs w:val="30"/>
        </w:rPr>
      </w:pPr>
      <w:r>
        <w:rPr>
          <w:rFonts w:hint="eastAsia" w:ascii="宋体" w:hAnsi="宋体" w:eastAsia="宋体" w:cs="宋体"/>
          <w:sz w:val="30"/>
          <w:szCs w:val="30"/>
        </w:rPr>
        <w:t>赣州市人民医院近</w:t>
      </w:r>
      <w:r>
        <w:rPr>
          <w:rFonts w:hint="eastAsia" w:ascii="宋体" w:hAnsi="宋体" w:eastAsia="宋体" w:cs="宋体"/>
          <w:b w:val="0"/>
          <w:bCs w:val="0"/>
          <w:sz w:val="30"/>
          <w:szCs w:val="30"/>
        </w:rPr>
        <w:t>期将对赣州市人民医院2019年</w:t>
      </w:r>
      <w:r>
        <w:rPr>
          <w:rFonts w:hint="eastAsia" w:ascii="宋体" w:hAnsi="宋体" w:eastAsia="宋体" w:cs="宋体"/>
          <w:b w:val="0"/>
          <w:bCs w:val="0"/>
          <w:sz w:val="30"/>
          <w:szCs w:val="30"/>
          <w:lang w:eastAsia="zh-CN"/>
        </w:rPr>
        <w:t>监护仪</w:t>
      </w:r>
      <w:r>
        <w:rPr>
          <w:rFonts w:hint="eastAsia" w:ascii="宋体" w:hAnsi="宋体" w:eastAsia="宋体" w:cs="宋体"/>
          <w:b w:val="0"/>
          <w:bCs w:val="0"/>
          <w:sz w:val="30"/>
          <w:szCs w:val="30"/>
        </w:rPr>
        <w:t>配件</w:t>
      </w:r>
      <w:r>
        <w:rPr>
          <w:rFonts w:hint="eastAsia" w:ascii="宋体" w:hAnsi="宋体" w:eastAsia="宋体" w:cs="宋体"/>
          <w:b w:val="0"/>
          <w:bCs w:val="0"/>
          <w:sz w:val="30"/>
          <w:szCs w:val="30"/>
          <w:lang w:eastAsia="zh-CN"/>
        </w:rPr>
        <w:t>采购项目</w:t>
      </w:r>
      <w:r>
        <w:rPr>
          <w:rFonts w:hint="eastAsia" w:ascii="宋体" w:hAnsi="宋体" w:eastAsia="宋体" w:cs="宋体"/>
          <w:b w:val="0"/>
          <w:bCs w:val="0"/>
          <w:sz w:val="30"/>
          <w:szCs w:val="30"/>
        </w:rPr>
        <w:t>进行竞争性谈判采购。欢迎符合资格条件的供</w:t>
      </w:r>
      <w:r>
        <w:rPr>
          <w:rFonts w:hint="eastAsia" w:ascii="宋体" w:hAnsi="宋体" w:cs="宋体"/>
          <w:b w:val="0"/>
          <w:bCs w:val="0"/>
          <w:sz w:val="30"/>
          <w:szCs w:val="30"/>
        </w:rPr>
        <w:t>应商前来参加。</w:t>
      </w:r>
    </w:p>
    <w:p>
      <w:pPr>
        <w:pStyle w:val="10"/>
        <w:spacing w:line="460" w:lineRule="exact"/>
        <w:ind w:firstLine="602"/>
        <w:rPr>
          <w:rFonts w:hint="default" w:ascii="宋体" w:hAnsi="宋体" w:eastAsia="宋体" w:cs="宋体"/>
          <w:sz w:val="30"/>
          <w:szCs w:val="30"/>
          <w:lang w:val="en-US" w:eastAsia="zh-CN"/>
        </w:rPr>
      </w:pPr>
      <w:r>
        <w:rPr>
          <w:rFonts w:hint="eastAsia" w:ascii="宋体" w:hAnsi="宋体" w:cs="宋体"/>
          <w:b/>
          <w:bCs/>
          <w:sz w:val="30"/>
          <w:szCs w:val="30"/>
        </w:rPr>
        <w:t>（一）项目编号：</w:t>
      </w:r>
      <w:r>
        <w:rPr>
          <w:rFonts w:hint="eastAsia" w:ascii="宋体" w:hAnsi="宋体" w:cs="宋体"/>
          <w:sz w:val="30"/>
          <w:szCs w:val="30"/>
        </w:rPr>
        <w:t>YN2019-0</w:t>
      </w:r>
      <w:r>
        <w:rPr>
          <w:rFonts w:hint="eastAsia" w:ascii="宋体" w:hAnsi="宋体" w:cs="宋体"/>
          <w:sz w:val="30"/>
          <w:szCs w:val="30"/>
          <w:lang w:val="en-US" w:eastAsia="zh-CN"/>
        </w:rPr>
        <w:t>11</w:t>
      </w:r>
    </w:p>
    <w:p>
      <w:pPr>
        <w:pStyle w:val="10"/>
        <w:spacing w:line="460" w:lineRule="exact"/>
        <w:ind w:firstLine="602"/>
        <w:rPr>
          <w:rFonts w:ascii="宋体" w:hAnsi="宋体" w:cs="宋体"/>
          <w:sz w:val="30"/>
          <w:szCs w:val="30"/>
        </w:rPr>
      </w:pPr>
      <w:r>
        <w:rPr>
          <w:rFonts w:hint="eastAsia" w:ascii="宋体" w:hAnsi="宋体" w:cs="宋体"/>
          <w:b/>
          <w:bCs/>
          <w:sz w:val="30"/>
          <w:szCs w:val="30"/>
        </w:rPr>
        <w:t>（二）采购方式：</w:t>
      </w:r>
      <w:r>
        <w:rPr>
          <w:rFonts w:hint="eastAsia" w:ascii="宋体" w:hAnsi="宋体" w:cs="宋体"/>
          <w:sz w:val="30"/>
          <w:szCs w:val="30"/>
        </w:rPr>
        <w:t>竞争性谈判</w:t>
      </w:r>
    </w:p>
    <w:p>
      <w:pPr>
        <w:pStyle w:val="10"/>
        <w:spacing w:line="460" w:lineRule="exact"/>
        <w:ind w:firstLine="602"/>
        <w:rPr>
          <w:rFonts w:ascii="宋体" w:hAnsi="宋体" w:cs="宋体"/>
          <w:sz w:val="30"/>
          <w:szCs w:val="30"/>
        </w:rPr>
      </w:pPr>
      <w:r>
        <w:rPr>
          <w:rFonts w:hint="eastAsia" w:ascii="宋体" w:hAnsi="宋体" w:cs="宋体"/>
          <w:b/>
          <w:bCs/>
          <w:sz w:val="30"/>
          <w:szCs w:val="30"/>
        </w:rPr>
        <w:t>（三）采购内容：</w:t>
      </w:r>
    </w:p>
    <w:tbl>
      <w:tblPr>
        <w:tblStyle w:val="18"/>
        <w:tblW w:w="9705" w:type="dxa"/>
        <w:jc w:val="center"/>
        <w:tblInd w:w="36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069"/>
        <w:gridCol w:w="780"/>
        <w:gridCol w:w="827"/>
        <w:gridCol w:w="4232"/>
        <w:gridCol w:w="17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8" w:hRule="atLeast"/>
          <w:jc w:val="center"/>
        </w:trPr>
        <w:tc>
          <w:tcPr>
            <w:tcW w:w="2069"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pPr>
            <w:r>
              <w:rPr>
                <w:rFonts w:hint="eastAsia"/>
                <w:b/>
                <w:spacing w:val="-20"/>
                <w:sz w:val="27"/>
                <w:szCs w:val="27"/>
              </w:rPr>
              <w:t>项目名称</w:t>
            </w:r>
          </w:p>
        </w:tc>
        <w:tc>
          <w:tcPr>
            <w:tcW w:w="780"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pPr>
            <w:r>
              <w:rPr>
                <w:rFonts w:hint="eastAsia"/>
                <w:b/>
                <w:spacing w:val="-20"/>
                <w:sz w:val="27"/>
                <w:szCs w:val="27"/>
              </w:rPr>
              <w:t>数量</w:t>
            </w:r>
          </w:p>
        </w:tc>
        <w:tc>
          <w:tcPr>
            <w:tcW w:w="82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rFonts w:hint="eastAsia" w:eastAsia="宋体"/>
                <w:lang w:eastAsia="zh-CN"/>
              </w:rPr>
            </w:pPr>
            <w:r>
              <w:rPr>
                <w:rFonts w:hint="eastAsia"/>
                <w:b/>
                <w:spacing w:val="-20"/>
                <w:sz w:val="27"/>
                <w:szCs w:val="27"/>
                <w:lang w:eastAsia="zh-CN"/>
              </w:rPr>
              <w:t>控制价格</w:t>
            </w:r>
            <w:r>
              <w:rPr>
                <w:rFonts w:hint="eastAsia"/>
                <w:b/>
                <w:spacing w:val="-20"/>
                <w:sz w:val="27"/>
                <w:szCs w:val="27"/>
              </w:rPr>
              <w:t>（元）</w:t>
            </w:r>
          </w:p>
        </w:tc>
        <w:tc>
          <w:tcPr>
            <w:tcW w:w="4232"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ind w:firstLine="462" w:firstLineChars="200"/>
              <w:jc w:val="center"/>
              <w:rPr>
                <w:color w:val="auto"/>
              </w:rPr>
            </w:pPr>
            <w:r>
              <w:rPr>
                <w:rFonts w:hint="eastAsia"/>
                <w:b/>
                <w:color w:val="auto"/>
                <w:spacing w:val="-20"/>
                <w:sz w:val="27"/>
                <w:szCs w:val="27"/>
              </w:rPr>
              <w:t>主要技术规格及要求</w:t>
            </w:r>
          </w:p>
        </w:tc>
        <w:tc>
          <w:tcPr>
            <w:tcW w:w="1797" w:type="dxa"/>
            <w:tcBorders>
              <w:top w:val="single" w:color="auto" w:sz="8" w:space="0"/>
              <w:left w:val="nil"/>
              <w:bottom w:val="single" w:color="auto" w:sz="8" w:space="0"/>
              <w:right w:val="single" w:color="auto" w:sz="8" w:space="0"/>
            </w:tcBorders>
            <w:noWrap/>
            <w:tcMar>
              <w:left w:w="108" w:type="dxa"/>
              <w:right w:w="108" w:type="dxa"/>
            </w:tcMar>
            <w:vAlign w:val="center"/>
          </w:tcPr>
          <w:p>
            <w:pPr>
              <w:pStyle w:val="16"/>
              <w:spacing w:before="0" w:beforeAutospacing="0" w:after="0" w:afterAutospacing="0" w:line="460" w:lineRule="exact"/>
              <w:jc w:val="center"/>
              <w:rPr>
                <w:color w:val="auto"/>
              </w:rPr>
            </w:pPr>
            <w:r>
              <w:rPr>
                <w:rFonts w:hint="eastAsia"/>
                <w:b/>
                <w:color w:val="auto"/>
                <w:spacing w:val="-20"/>
                <w:sz w:val="27"/>
                <w:szCs w:val="27"/>
              </w:rPr>
              <w:t>预算金额（元）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tcBorders>
              <w:top w:val="nil"/>
              <w:left w:val="single" w:color="auto" w:sz="8" w:space="0"/>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心电导联线</w:t>
            </w:r>
          </w:p>
        </w:tc>
        <w:tc>
          <w:tcPr>
            <w:tcW w:w="780"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150根</w:t>
            </w:r>
          </w:p>
        </w:tc>
        <w:tc>
          <w:tcPr>
            <w:tcW w:w="82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135</w:t>
            </w:r>
          </w:p>
        </w:tc>
        <w:tc>
          <w:tcPr>
            <w:tcW w:w="4232"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与医院各型号监护仪匹配，提供医疗器械备案凭证或注册证</w:t>
            </w:r>
          </w:p>
        </w:tc>
        <w:tc>
          <w:tcPr>
            <w:tcW w:w="1797" w:type="dxa"/>
            <w:tcBorders>
              <w:top w:val="nil"/>
              <w:left w:val="nil"/>
              <w:bottom w:val="single" w:color="auto" w:sz="8" w:space="0"/>
              <w:right w:val="single" w:color="auto" w:sz="8" w:space="0"/>
            </w:tcBorders>
            <w:noWrap/>
            <w:tcMar>
              <w:left w:w="108" w:type="dxa"/>
              <w:right w:w="108" w:type="dxa"/>
            </w:tcMar>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20250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血氧探头</w:t>
            </w:r>
          </w:p>
        </w:tc>
        <w:tc>
          <w:tcPr>
            <w:tcW w:w="780"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350个</w:t>
            </w:r>
          </w:p>
        </w:tc>
        <w:tc>
          <w:tcPr>
            <w:tcW w:w="827"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135</w:t>
            </w:r>
          </w:p>
        </w:tc>
        <w:tc>
          <w:tcPr>
            <w:tcW w:w="4232"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与医院各型号监护仪匹配，提供医疗器械备案凭证或注册证</w:t>
            </w:r>
          </w:p>
        </w:tc>
        <w:tc>
          <w:tcPr>
            <w:tcW w:w="1797"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47250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血压袖带</w:t>
            </w:r>
          </w:p>
        </w:tc>
        <w:tc>
          <w:tcPr>
            <w:tcW w:w="780"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350个</w:t>
            </w:r>
          </w:p>
        </w:tc>
        <w:tc>
          <w:tcPr>
            <w:tcW w:w="827"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35</w:t>
            </w:r>
          </w:p>
        </w:tc>
        <w:tc>
          <w:tcPr>
            <w:tcW w:w="4232"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与医院各型号监护仪匹配，提供医疗器械备案凭证或注册证</w:t>
            </w:r>
          </w:p>
        </w:tc>
        <w:tc>
          <w:tcPr>
            <w:tcW w:w="1797"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12250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血压袖带连接管</w:t>
            </w:r>
          </w:p>
        </w:tc>
        <w:tc>
          <w:tcPr>
            <w:tcW w:w="780"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40根</w:t>
            </w:r>
          </w:p>
        </w:tc>
        <w:tc>
          <w:tcPr>
            <w:tcW w:w="827"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180</w:t>
            </w:r>
          </w:p>
        </w:tc>
        <w:tc>
          <w:tcPr>
            <w:tcW w:w="4232"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与医院各型号监护仪匹配</w:t>
            </w:r>
          </w:p>
        </w:tc>
        <w:tc>
          <w:tcPr>
            <w:tcW w:w="1797"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7200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有创血压连线</w:t>
            </w:r>
          </w:p>
        </w:tc>
        <w:tc>
          <w:tcPr>
            <w:tcW w:w="780"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20根</w:t>
            </w:r>
          </w:p>
        </w:tc>
        <w:tc>
          <w:tcPr>
            <w:tcW w:w="827"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350</w:t>
            </w:r>
          </w:p>
        </w:tc>
        <w:tc>
          <w:tcPr>
            <w:tcW w:w="4232"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与医院各型号监护仪匹配</w:t>
            </w:r>
          </w:p>
        </w:tc>
        <w:tc>
          <w:tcPr>
            <w:tcW w:w="1797"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7000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铅酸电池</w:t>
            </w:r>
          </w:p>
        </w:tc>
        <w:tc>
          <w:tcPr>
            <w:tcW w:w="780"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100个</w:t>
            </w:r>
          </w:p>
        </w:tc>
        <w:tc>
          <w:tcPr>
            <w:tcW w:w="827" w:type="dxa"/>
            <w:vAlign w:val="center"/>
          </w:tcPr>
          <w:p>
            <w:pPr>
              <w:numPr>
                <w:ilvl w:val="0"/>
                <w:numId w:val="0"/>
              </w:numPr>
              <w:spacing w:line="440" w:lineRule="exact"/>
              <w:ind w:left="0" w:leftChars="0" w:firstLine="0" w:firstLineChars="0"/>
              <w:jc w:val="center"/>
              <w:rPr>
                <w:rFonts w:hint="default"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250</w:t>
            </w:r>
          </w:p>
        </w:tc>
        <w:tc>
          <w:tcPr>
            <w:tcW w:w="4232"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与医院各型号监护仪匹配</w:t>
            </w:r>
          </w:p>
        </w:tc>
        <w:tc>
          <w:tcPr>
            <w:tcW w:w="1797"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25000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03" w:hRule="atLeast"/>
          <w:jc w:val="center"/>
        </w:trPr>
        <w:tc>
          <w:tcPr>
            <w:tcW w:w="2069"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3芯电源线</w:t>
            </w:r>
          </w:p>
        </w:tc>
        <w:tc>
          <w:tcPr>
            <w:tcW w:w="780"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200根</w:t>
            </w:r>
          </w:p>
        </w:tc>
        <w:tc>
          <w:tcPr>
            <w:tcW w:w="827" w:type="dxa"/>
            <w:vAlign w:val="center"/>
          </w:tcPr>
          <w:p>
            <w:pPr>
              <w:numPr>
                <w:ilvl w:val="0"/>
                <w:numId w:val="0"/>
              </w:numPr>
              <w:spacing w:line="440" w:lineRule="exact"/>
              <w:ind w:left="0" w:leftChars="0" w:firstLine="0" w:firstLineChars="0"/>
              <w:jc w:val="center"/>
              <w:rPr>
                <w:rFonts w:hint="eastAsia" w:ascii="仿宋_GB2312" w:eastAsia="仿宋_GB2312"/>
                <w:sz w:val="32"/>
                <w:szCs w:val="32"/>
                <w:vertAlign w:val="baseline"/>
                <w:lang w:val="en-US" w:eastAsia="zh-CN"/>
              </w:rPr>
            </w:pPr>
            <w:r>
              <w:rPr>
                <w:rFonts w:hint="eastAsia" w:ascii="仿宋_GB2312" w:eastAsia="仿宋_GB2312"/>
                <w:sz w:val="32"/>
                <w:szCs w:val="32"/>
                <w:vertAlign w:val="baseline"/>
                <w:lang w:val="en-US" w:eastAsia="zh-CN"/>
              </w:rPr>
              <w:t>30</w:t>
            </w:r>
          </w:p>
        </w:tc>
        <w:tc>
          <w:tcPr>
            <w:tcW w:w="4232"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长度≧2m，最大使用功率≧2000W，材质：铜，通过3C认证</w:t>
            </w:r>
          </w:p>
        </w:tc>
        <w:tc>
          <w:tcPr>
            <w:tcW w:w="1797" w:type="dxa"/>
            <w:vAlign w:val="center"/>
          </w:tcPr>
          <w:p>
            <w:pPr>
              <w:numPr>
                <w:ilvl w:val="0"/>
                <w:numId w:val="0"/>
              </w:numPr>
              <w:spacing w:line="440" w:lineRule="exact"/>
              <w:ind w:left="0" w:leftChars="0" w:firstLine="0" w:firstLineChars="0"/>
              <w:jc w:val="center"/>
              <w:rPr>
                <w:rFonts w:hint="eastAsia" w:ascii="仿宋_GB2312" w:eastAsia="仿宋_GB2312"/>
                <w:color w:val="auto"/>
                <w:sz w:val="32"/>
                <w:szCs w:val="32"/>
                <w:vertAlign w:val="baseline"/>
                <w:lang w:val="en-US" w:eastAsia="zh-CN"/>
              </w:rPr>
            </w:pPr>
            <w:r>
              <w:rPr>
                <w:rFonts w:hint="eastAsia" w:ascii="仿宋_GB2312" w:eastAsia="仿宋_GB2312"/>
                <w:color w:val="auto"/>
                <w:sz w:val="32"/>
                <w:szCs w:val="32"/>
                <w:vertAlign w:val="baseline"/>
                <w:lang w:val="en-US" w:eastAsia="zh-CN"/>
              </w:rPr>
              <w:t>6000</w:t>
            </w:r>
          </w:p>
        </w:tc>
      </w:tr>
    </w:tbl>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（四）谈判方式：</w:t>
      </w:r>
      <w:r>
        <w:rPr>
          <w:rFonts w:hint="eastAsia"/>
          <w:kern w:val="2"/>
          <w:sz w:val="30"/>
          <w:szCs w:val="30"/>
        </w:rPr>
        <w:t>本项目不接受联合体响应。开启结束后，谈判小组所有成员集中，与各响应供应商就采购项目中技术参数、售后服务以及合同草案条款等分别进行谈判，谈判小组在谈判结束后，要求符合条件的所有参加谈判的响应供应商在规定的时间内提出最终报价（二次报价）。在没有修正参数的前提下，最终报价（二次报价）不得高于</w:t>
      </w:r>
      <w:r>
        <w:rPr>
          <w:rFonts w:hint="eastAsia"/>
          <w:kern w:val="2"/>
          <w:sz w:val="30"/>
          <w:szCs w:val="30"/>
          <w:lang w:eastAsia="zh-CN"/>
        </w:rPr>
        <w:t>第</w:t>
      </w:r>
      <w:r>
        <w:rPr>
          <w:rFonts w:hint="eastAsia"/>
          <w:kern w:val="2"/>
          <w:sz w:val="30"/>
          <w:szCs w:val="30"/>
        </w:rPr>
        <w:t>一次报价。谈判顺序由现场抽签决定。</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（五）响应供应商资格要求:</w:t>
      </w:r>
    </w:p>
    <w:p>
      <w:pPr>
        <w:pStyle w:val="16"/>
        <w:spacing w:before="0" w:beforeAutospacing="0" w:after="0" w:afterAutospacing="0" w:line="460" w:lineRule="exact"/>
        <w:ind w:firstLine="600" w:firstLineChars="200"/>
        <w:jc w:val="both"/>
        <w:rPr>
          <w:rFonts w:hint="default" w:eastAsia="宋体"/>
          <w:kern w:val="2"/>
          <w:sz w:val="30"/>
          <w:szCs w:val="30"/>
          <w:lang w:val="en-US" w:eastAsia="zh-CN"/>
        </w:rPr>
      </w:pPr>
      <w:r>
        <w:rPr>
          <w:rFonts w:hint="eastAsia"/>
          <w:kern w:val="2"/>
          <w:sz w:val="30"/>
          <w:szCs w:val="30"/>
        </w:rPr>
        <w:t>（1）基本资格条件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1、具有独立承担民事责任的能力（具有行政管理机关颁发的有效企业营业执照）。</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highlight w:val="none"/>
        </w:rPr>
        <w:t>2、</w:t>
      </w:r>
      <w:r>
        <w:rPr>
          <w:rFonts w:hint="eastAsia"/>
          <w:kern w:val="2"/>
          <w:sz w:val="30"/>
          <w:szCs w:val="30"/>
        </w:rPr>
        <w:t>具有履行合同所必需的设备和专业技术能力（承诺书）。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3、有依法缴纳税收和社会保障资金的良好记录（纳税证明和社保证明）。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US" w:eastAsia="zh-CN"/>
        </w:rPr>
        <w:t>4</w:t>
      </w:r>
      <w:r>
        <w:rPr>
          <w:rFonts w:hint="eastAsia"/>
          <w:kern w:val="2"/>
          <w:sz w:val="30"/>
          <w:szCs w:val="30"/>
        </w:rPr>
        <w:t>、参加采购活动前三年内，在经营活动中没有重大违法记录（书面声明）。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（2）特定资格条件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1、响应供应商须提供《医疗器械经营许可证》或《医疗器械经营企业备案登记凭证》；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2、所投货物须提供医疗设备（器械）备案登记表或医疗器械注册证及附件（符合最新的国家医疗器械分类目录要求）。</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（六）谈判文件公告期限：</w:t>
      </w:r>
      <w:r>
        <w:rPr>
          <w:rFonts w:hint="eastAsia"/>
          <w:kern w:val="2"/>
          <w:sz w:val="30"/>
          <w:szCs w:val="30"/>
        </w:rPr>
        <w:t>自谈判公告发布之日（</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11</w:t>
      </w:r>
      <w:r>
        <w:rPr>
          <w:rFonts w:hint="eastAsia"/>
          <w:kern w:val="2"/>
          <w:sz w:val="30"/>
          <w:szCs w:val="30"/>
          <w:highlight w:val="yellow"/>
        </w:rPr>
        <w:t>日</w:t>
      </w:r>
      <w:r>
        <w:rPr>
          <w:rFonts w:hint="eastAsia"/>
          <w:kern w:val="2"/>
          <w:sz w:val="30"/>
          <w:szCs w:val="30"/>
        </w:rPr>
        <w:t>）起三个工作日。</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（七）谈判文件的购买：</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月1</w:t>
      </w:r>
      <w:r>
        <w:rPr>
          <w:rFonts w:hint="eastAsia"/>
          <w:kern w:val="2"/>
          <w:sz w:val="30"/>
          <w:szCs w:val="30"/>
          <w:highlight w:val="yellow"/>
          <w:lang w:val="en-US" w:eastAsia="zh-CN"/>
        </w:rPr>
        <w:t>2</w:t>
      </w:r>
      <w:r>
        <w:rPr>
          <w:rFonts w:hint="eastAsia"/>
          <w:kern w:val="2"/>
          <w:sz w:val="30"/>
          <w:szCs w:val="30"/>
          <w:highlight w:val="yellow"/>
        </w:rPr>
        <w:t>日至2019年0</w:t>
      </w:r>
      <w:r>
        <w:rPr>
          <w:rFonts w:hint="eastAsia"/>
          <w:kern w:val="2"/>
          <w:sz w:val="30"/>
          <w:szCs w:val="30"/>
          <w:highlight w:val="yellow"/>
          <w:lang w:val="en-US" w:eastAsia="zh-CN"/>
        </w:rPr>
        <w:t>4</w:t>
      </w:r>
      <w:r>
        <w:rPr>
          <w:rFonts w:hint="eastAsia"/>
          <w:kern w:val="2"/>
          <w:sz w:val="30"/>
          <w:szCs w:val="30"/>
          <w:highlight w:val="yellow"/>
        </w:rPr>
        <w:t>月1</w:t>
      </w:r>
      <w:r>
        <w:rPr>
          <w:rFonts w:hint="eastAsia"/>
          <w:kern w:val="2"/>
          <w:sz w:val="30"/>
          <w:szCs w:val="30"/>
          <w:highlight w:val="yellow"/>
          <w:lang w:val="en-US" w:eastAsia="zh-CN"/>
        </w:rPr>
        <w:t>6</w:t>
      </w:r>
      <w:r>
        <w:rPr>
          <w:rFonts w:hint="eastAsia"/>
          <w:kern w:val="2"/>
          <w:sz w:val="30"/>
          <w:szCs w:val="30"/>
          <w:highlight w:val="yellow"/>
        </w:rPr>
        <w:t>日</w:t>
      </w:r>
      <w:r>
        <w:rPr>
          <w:rFonts w:hint="eastAsia"/>
          <w:kern w:val="2"/>
          <w:sz w:val="30"/>
          <w:szCs w:val="30"/>
        </w:rPr>
        <w:t>（工作日内</w:t>
      </w:r>
      <w:r>
        <w:rPr>
          <w:rFonts w:hint="eastAsia"/>
          <w:color w:val="auto"/>
          <w:kern w:val="2"/>
          <w:sz w:val="30"/>
          <w:szCs w:val="30"/>
        </w:rPr>
        <w:t>）08∶</w:t>
      </w:r>
      <w:r>
        <w:rPr>
          <w:color w:val="auto"/>
          <w:kern w:val="2"/>
          <w:sz w:val="30"/>
          <w:szCs w:val="30"/>
        </w:rPr>
        <w:t>00</w:t>
      </w:r>
      <w:r>
        <w:rPr>
          <w:rFonts w:hint="eastAsia"/>
          <w:color w:val="auto"/>
          <w:kern w:val="2"/>
          <w:sz w:val="30"/>
          <w:szCs w:val="30"/>
        </w:rPr>
        <w:t>——1</w:t>
      </w:r>
      <w:r>
        <w:rPr>
          <w:color w:val="auto"/>
          <w:kern w:val="2"/>
          <w:sz w:val="30"/>
          <w:szCs w:val="30"/>
        </w:rPr>
        <w:t>2</w:t>
      </w:r>
      <w:r>
        <w:rPr>
          <w:rFonts w:hint="eastAsia"/>
          <w:color w:val="auto"/>
          <w:kern w:val="2"/>
          <w:sz w:val="30"/>
          <w:szCs w:val="30"/>
        </w:rPr>
        <w:t>∶</w:t>
      </w:r>
      <w:r>
        <w:rPr>
          <w:color w:val="auto"/>
          <w:kern w:val="2"/>
          <w:sz w:val="30"/>
          <w:szCs w:val="30"/>
        </w:rPr>
        <w:t>00</w:t>
      </w:r>
      <w:r>
        <w:rPr>
          <w:rFonts w:hint="eastAsia"/>
          <w:color w:val="auto"/>
          <w:kern w:val="2"/>
          <w:sz w:val="30"/>
          <w:szCs w:val="30"/>
        </w:rPr>
        <w:t>，14∶</w:t>
      </w:r>
      <w:r>
        <w:rPr>
          <w:color w:val="auto"/>
          <w:kern w:val="2"/>
          <w:sz w:val="30"/>
          <w:szCs w:val="30"/>
        </w:rPr>
        <w:t>3</w:t>
      </w:r>
      <w:r>
        <w:rPr>
          <w:rFonts w:hint="eastAsia"/>
          <w:color w:val="auto"/>
          <w:kern w:val="2"/>
          <w:sz w:val="30"/>
          <w:szCs w:val="30"/>
        </w:rPr>
        <w:t>0——17∶30，在赣州市人民医院南院（梅关大道16号）行政楼205招标办购买，由投标单位的基本账户转入医院的指定帐户（单位名称:赣州市人民医院；账号:</w:t>
      </w:r>
      <w:r>
        <w:rPr>
          <w:rFonts w:hint="eastAsia"/>
          <w:kern w:val="2"/>
          <w:sz w:val="30"/>
          <w:szCs w:val="30"/>
        </w:rPr>
        <w:t>1510220109026473030；开户银行:工商银行赣州市虔城支行），谈判文件工本费100元/本，文件售后不退，报名时请携带营业执照复印件（加盖公章）。</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（八）响应截止时间和谈判时间：</w:t>
      </w:r>
      <w:r>
        <w:rPr>
          <w:rFonts w:hint="eastAsia"/>
          <w:kern w:val="2"/>
          <w:sz w:val="30"/>
          <w:szCs w:val="30"/>
          <w:highlight w:val="yellow"/>
        </w:rPr>
        <w:t>2019年0</w:t>
      </w:r>
      <w:r>
        <w:rPr>
          <w:rFonts w:hint="eastAsia"/>
          <w:kern w:val="2"/>
          <w:sz w:val="30"/>
          <w:szCs w:val="30"/>
          <w:highlight w:val="yellow"/>
          <w:lang w:val="en-US" w:eastAsia="zh-CN"/>
        </w:rPr>
        <w:t>4</w:t>
      </w:r>
      <w:r>
        <w:rPr>
          <w:rFonts w:hint="eastAsia"/>
          <w:kern w:val="2"/>
          <w:sz w:val="30"/>
          <w:szCs w:val="30"/>
          <w:highlight w:val="yellow"/>
        </w:rPr>
        <w:t>月</w:t>
      </w:r>
      <w:r>
        <w:rPr>
          <w:rFonts w:hint="eastAsia"/>
          <w:kern w:val="2"/>
          <w:sz w:val="30"/>
          <w:szCs w:val="30"/>
          <w:highlight w:val="yellow"/>
          <w:lang w:val="en-US" w:eastAsia="zh-CN"/>
        </w:rPr>
        <w:t>2</w:t>
      </w:r>
      <w:r>
        <w:rPr>
          <w:rFonts w:hint="default"/>
          <w:kern w:val="2"/>
          <w:sz w:val="30"/>
          <w:szCs w:val="30"/>
          <w:highlight w:val="yellow"/>
          <w:lang w:val="en-US" w:eastAsia="zh-CN"/>
        </w:rPr>
        <w:t>3</w:t>
      </w:r>
      <w:r>
        <w:rPr>
          <w:rFonts w:hint="eastAsia"/>
          <w:kern w:val="2"/>
          <w:sz w:val="30"/>
          <w:szCs w:val="30"/>
          <w:highlight w:val="yellow"/>
        </w:rPr>
        <w:t>日</w:t>
      </w:r>
      <w:r>
        <w:rPr>
          <w:rFonts w:hint="eastAsia"/>
          <w:kern w:val="2"/>
          <w:sz w:val="30"/>
          <w:szCs w:val="30"/>
        </w:rPr>
        <w:t>15:00（北京时间），谈判地点：赣州市人民医院南院行政楼2楼</w:t>
      </w:r>
      <w:r>
        <w:rPr>
          <w:rFonts w:hint="eastAsia"/>
          <w:kern w:val="2"/>
          <w:sz w:val="30"/>
          <w:szCs w:val="30"/>
          <w:highlight w:val="yellow"/>
        </w:rPr>
        <w:t>4号会议室。</w:t>
      </w:r>
      <w:r>
        <w:rPr>
          <w:rFonts w:hint="eastAsia"/>
          <w:kern w:val="2"/>
          <w:sz w:val="30"/>
          <w:szCs w:val="30"/>
        </w:rPr>
        <w:t>逾期或不符合规定的竞谈响应文件恕不接受。签到时应主动出示身份证明原件。（温馨提示：谈判地点交通拥堵，车位紧张，请各响应供应商提前做好准备。）</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（九）响应保证金及履约保证金：</w:t>
      </w:r>
      <w:r>
        <w:rPr>
          <w:rFonts w:hint="eastAsia"/>
          <w:kern w:val="2"/>
          <w:sz w:val="30"/>
          <w:szCs w:val="30"/>
        </w:rPr>
        <w:t>响应供应商的响应保证金足额一次性缴纳人民币</w:t>
      </w:r>
      <w:r>
        <w:rPr>
          <w:rFonts w:hint="eastAsia"/>
          <w:kern w:val="2"/>
          <w:sz w:val="30"/>
          <w:szCs w:val="30"/>
          <w:highlight w:val="yellow"/>
        </w:rPr>
        <w:t>贰仟肆佰</w:t>
      </w:r>
      <w:r>
        <w:rPr>
          <w:rFonts w:hint="eastAsia"/>
          <w:kern w:val="2"/>
          <w:sz w:val="30"/>
          <w:szCs w:val="30"/>
          <w:highlight w:val="yellow"/>
          <w:lang w:eastAsia="zh-CN"/>
        </w:rPr>
        <w:t>玖拾玖</w:t>
      </w:r>
      <w:r>
        <w:rPr>
          <w:rFonts w:hint="eastAsia"/>
          <w:kern w:val="2"/>
          <w:sz w:val="30"/>
          <w:szCs w:val="30"/>
        </w:rPr>
        <w:t>元整</w:t>
      </w:r>
      <w:r>
        <w:rPr>
          <w:rFonts w:hint="eastAsia"/>
          <w:color w:val="auto"/>
          <w:kern w:val="2"/>
          <w:sz w:val="30"/>
          <w:szCs w:val="30"/>
        </w:rPr>
        <w:t>，须在开标当天</w:t>
      </w:r>
      <w:r>
        <w:rPr>
          <w:rFonts w:hint="eastAsia"/>
          <w:color w:val="auto"/>
          <w:kern w:val="2"/>
          <w:sz w:val="30"/>
          <w:szCs w:val="30"/>
          <w:highlight w:val="none"/>
        </w:rPr>
        <w:t>上午8：00</w:t>
      </w:r>
      <w:r>
        <w:rPr>
          <w:rFonts w:hint="eastAsia"/>
          <w:color w:val="auto"/>
          <w:kern w:val="2"/>
          <w:sz w:val="30"/>
          <w:szCs w:val="30"/>
        </w:rPr>
        <w:t>前到账，从响应供应商（不得以分支机构等其他名义转入）的基本账户转入医院的指定帐户（单位名称:赣州市人民医院；账号:1510220109026473030；开户银行:工商</w:t>
      </w:r>
      <w:r>
        <w:rPr>
          <w:rFonts w:hint="eastAsia"/>
          <w:kern w:val="2"/>
          <w:sz w:val="30"/>
          <w:szCs w:val="30"/>
        </w:rPr>
        <w:t>银行赣州市虔城支行）（自然人参加的，从自然人的本人同名账户转入），否则响应无效。各响应供应商在银行转账（电汇）时，须充分考虑银行转账（电汇）的时间差风险，如同城转账、异地转账或汇款、跨行转账或电汇的时间要求。未成交供应商的响应保证金,在《成交通知书》发出之日起五个工作日内按来款渠道直接无息退还。成交供应商的响应保证金转为履约保证金；履约保证金按成交金额的10%缴纳，不足部分在合同签订前补齐，货物验收合格后质保期结束时一次性无息退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02" w:firstLineChars="200"/>
        <w:jc w:val="both"/>
        <w:textAlignment w:val="auto"/>
        <w:outlineLvl w:val="9"/>
        <w:rPr>
          <w:kern w:val="2"/>
          <w:sz w:val="30"/>
          <w:szCs w:val="30"/>
        </w:rPr>
      </w:pPr>
      <w:r>
        <w:rPr>
          <w:rFonts w:hint="eastAsia"/>
          <w:b/>
          <w:bCs/>
          <w:kern w:val="2"/>
          <w:sz w:val="30"/>
          <w:szCs w:val="30"/>
        </w:rPr>
        <w:t>（十）付款方法：</w:t>
      </w:r>
      <w:r>
        <w:rPr>
          <w:rFonts w:hint="eastAsia" w:ascii="宋体" w:hAnsi="宋体" w:eastAsia="宋体" w:cs="宋体"/>
          <w:color w:val="auto"/>
          <w:sz w:val="30"/>
          <w:szCs w:val="30"/>
          <w:lang w:val="en-US" w:eastAsia="zh-CN"/>
        </w:rPr>
        <w:t>每批次供货验收合格一个月后付该批次货款的100%。</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（十一）已购买谈判文件的供应商，在提交竞谈响应文件的截止时间</w:t>
      </w:r>
      <w:r>
        <w:rPr>
          <w:rFonts w:hint="eastAsia"/>
          <w:b/>
          <w:bCs/>
          <w:kern w:val="2"/>
          <w:sz w:val="30"/>
          <w:szCs w:val="30"/>
          <w:highlight w:val="yellow"/>
        </w:rPr>
        <w:t>一日前，未书面通知</w:t>
      </w:r>
      <w:r>
        <w:rPr>
          <w:rFonts w:hint="eastAsia"/>
          <w:b/>
          <w:bCs/>
          <w:kern w:val="2"/>
          <w:sz w:val="30"/>
          <w:szCs w:val="30"/>
        </w:rPr>
        <w:t>而放弃响应的，不得再参加该项目的采购活动。</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（十二）联系方法：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地址：赣州市章贡区梅关大道16号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电话：0797-5889317</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联系人：刘女士</w:t>
      </w:r>
    </w:p>
    <w:p>
      <w:pPr>
        <w:rPr>
          <w:rFonts w:hint="eastAsia" w:asciiTheme="minorEastAsia" w:hAnsiTheme="minorEastAsia" w:eastAsiaTheme="minorEastAsia"/>
          <w:sz w:val="32"/>
          <w:szCs w:val="32"/>
          <w:lang w:eastAsia="zh-CN"/>
        </w:rPr>
      </w:pPr>
      <w:bookmarkStart w:id="1" w:name="_Toc533775665"/>
    </w:p>
    <w:p>
      <w:pPr>
        <w:rPr>
          <w:rFonts w:hint="eastAsia" w:asciiTheme="minorEastAsia" w:hAnsiTheme="minorEastAsia" w:eastAsiaTheme="minorEastAsia"/>
          <w:sz w:val="32"/>
          <w:szCs w:val="32"/>
          <w:lang w:eastAsia="zh-CN"/>
        </w:rPr>
      </w:pPr>
    </w:p>
    <w:p>
      <w:pPr>
        <w:pStyle w:val="2"/>
        <w:spacing w:before="240" w:after="240"/>
        <w:jc w:val="center"/>
        <w:rPr>
          <w:b/>
          <w:sz w:val="32"/>
        </w:rPr>
      </w:pPr>
      <w:r>
        <w:rPr>
          <w:rFonts w:hint="eastAsia"/>
          <w:b/>
          <w:sz w:val="32"/>
        </w:rPr>
        <w:t xml:space="preserve">第二章  </w:t>
      </w:r>
      <w:bookmarkEnd w:id="1"/>
      <w:bookmarkStart w:id="2" w:name="_Toc533775667"/>
      <w:r>
        <w:rPr>
          <w:rFonts w:hint="eastAsia"/>
          <w:b/>
          <w:sz w:val="32"/>
        </w:rPr>
        <w:t>谈判文件</w:t>
      </w:r>
      <w:bookmarkEnd w:id="2"/>
    </w:p>
    <w:p>
      <w:pPr>
        <w:pStyle w:val="2"/>
        <w:spacing w:before="240" w:after="240"/>
        <w:jc w:val="center"/>
        <w:rPr>
          <w:b/>
          <w:sz w:val="32"/>
          <w:szCs w:val="22"/>
        </w:rPr>
      </w:pPr>
      <w:bookmarkStart w:id="3" w:name="_Toc505076492"/>
      <w:bookmarkStart w:id="4" w:name="_Toc505076493"/>
      <w:bookmarkStart w:id="5" w:name="_Toc495487710"/>
      <w:bookmarkStart w:id="6" w:name="_Toc499477410"/>
      <w:bookmarkStart w:id="7" w:name="_Toc501101639"/>
      <w:r>
        <w:rPr>
          <w:rFonts w:hint="eastAsia" w:hAnsi="宋体"/>
          <w:szCs w:val="28"/>
        </w:rPr>
        <w:t>一、</w:t>
      </w:r>
      <w:bookmarkEnd w:id="3"/>
      <w:r>
        <w:rPr>
          <w:rFonts w:hint="eastAsia"/>
          <w:b/>
          <w:sz w:val="32"/>
          <w:szCs w:val="22"/>
        </w:rPr>
        <w:t>采购项目需求</w:t>
      </w:r>
      <w:bookmarkEnd w:id="4"/>
    </w:p>
    <w:p>
      <w:pPr>
        <w:pStyle w:val="16"/>
        <w:spacing w:before="0" w:beforeAutospacing="0" w:after="0" w:afterAutospacing="0" w:line="460" w:lineRule="exact"/>
        <w:ind w:firstLine="600" w:firstLineChars="200"/>
        <w:jc w:val="both"/>
        <w:rPr>
          <w:kern w:val="2"/>
          <w:sz w:val="30"/>
          <w:szCs w:val="30"/>
        </w:rPr>
      </w:pPr>
    </w:p>
    <w:p>
      <w:pPr>
        <w:pStyle w:val="16"/>
        <w:spacing w:before="0" w:beforeAutospacing="0" w:after="0" w:afterAutospacing="0" w:line="460" w:lineRule="exact"/>
        <w:ind w:firstLine="600" w:firstLineChars="200"/>
        <w:jc w:val="both"/>
        <w:rPr>
          <w:kern w:val="2"/>
          <w:sz w:val="30"/>
          <w:szCs w:val="30"/>
        </w:rPr>
      </w:pPr>
      <w:bookmarkStart w:id="8" w:name="_Toc413574279"/>
      <w:r>
        <w:rPr>
          <w:rFonts w:hint="eastAsia"/>
          <w:kern w:val="2"/>
          <w:sz w:val="30"/>
          <w:szCs w:val="30"/>
        </w:rPr>
        <w:t>1、投标供应商须提供全新、原装，并符合质量标准的货物。</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2、货物如为某单位的专利或特有产品，请投标供应商在</w:t>
      </w:r>
      <w:r>
        <w:rPr>
          <w:rFonts w:hint="eastAsia"/>
          <w:color w:val="auto"/>
          <w:kern w:val="2"/>
          <w:sz w:val="30"/>
          <w:szCs w:val="30"/>
        </w:rPr>
        <w:t>答疑期内告知。</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3、本招标文件提出的是最低限度的要求，投标供应商的方案应达到</w:t>
      </w:r>
      <w:r>
        <w:rPr>
          <w:rFonts w:hint="eastAsia"/>
          <w:kern w:val="2"/>
          <w:sz w:val="30"/>
          <w:szCs w:val="30"/>
        </w:rPr>
        <w:t>或优于本招标文件要求，且符合国家有关标准和规范要求。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4、本项目报价内容包含谈判文件规定的完成相关货物及服务所需的设备、人员、培训、技术支持、税费等一切相关费用，除成交金额外不另增加任何费用。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5、交货期：卖方应在《中标通知书》规定的时间内和买方签订正式合同，</w:t>
      </w:r>
      <w:r>
        <w:rPr>
          <w:rFonts w:hint="eastAsia"/>
          <w:kern w:val="2"/>
          <w:sz w:val="30"/>
          <w:szCs w:val="30"/>
          <w:highlight w:val="yellow"/>
        </w:rPr>
        <w:t>中标者接到我院电话或调货信息时，需2小时内响应，24小时内将货物送至指定地点；按批次供货，每次供货验收合格一个月后付该批次货款的100%。</w:t>
      </w:r>
      <w:r>
        <w:rPr>
          <w:rFonts w:hint="eastAsia"/>
          <w:kern w:val="2"/>
          <w:sz w:val="30"/>
          <w:szCs w:val="30"/>
        </w:rPr>
        <w:t xml:space="preserve">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6、交货地点：采购人指定地点。</w:t>
      </w:r>
    </w:p>
    <w:bookmarkEnd w:id="8"/>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7、产品参数要求: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rFonts w:hint="eastAsia" w:ascii="宋体" w:hAnsi="宋体" w:cs="宋体"/>
          <w:color w:val="000000"/>
          <w:kern w:val="2"/>
          <w:sz w:val="30"/>
          <w:szCs w:val="30"/>
          <w:highlight w:val="yellow"/>
          <w:lang w:val="en-US" w:eastAsia="zh-CN" w:bidi="ar-SA"/>
        </w:rPr>
      </w:pPr>
      <w:r>
        <w:rPr>
          <w:rFonts w:hint="eastAsia" w:ascii="宋体" w:hAnsi="宋体" w:cs="宋体"/>
          <w:color w:val="000000"/>
          <w:kern w:val="2"/>
          <w:sz w:val="30"/>
          <w:szCs w:val="30"/>
          <w:highlight w:val="yellow"/>
          <w:lang w:val="en-US" w:eastAsia="zh-CN" w:bidi="ar-SA"/>
        </w:rPr>
        <w:t>1.</w:t>
      </w:r>
      <w:r>
        <w:rPr>
          <w:rFonts w:hint="eastAsia" w:ascii="宋体" w:hAnsi="宋体" w:eastAsia="宋体" w:cs="宋体"/>
          <w:color w:val="000000"/>
          <w:kern w:val="2"/>
          <w:sz w:val="30"/>
          <w:szCs w:val="30"/>
          <w:highlight w:val="yellow"/>
          <w:lang w:val="en-US" w:eastAsia="zh-CN" w:bidi="ar-SA"/>
        </w:rPr>
        <w:t>所提供的配件能与我院相对应的医疗设备通用；</w:t>
      </w:r>
      <w:r>
        <w:rPr>
          <w:rFonts w:hint="eastAsia" w:ascii="宋体" w:hAnsi="宋体" w:cs="宋体"/>
          <w:color w:val="000000"/>
          <w:kern w:val="2"/>
          <w:sz w:val="30"/>
          <w:szCs w:val="30"/>
          <w:highlight w:val="yellow"/>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150" w:right="0" w:rightChars="0" w:firstLine="600" w:firstLineChars="200"/>
        <w:jc w:val="both"/>
        <w:textAlignment w:val="auto"/>
        <w:outlineLvl w:val="9"/>
        <w:rPr>
          <w:kern w:val="2"/>
          <w:sz w:val="30"/>
          <w:szCs w:val="30"/>
        </w:rPr>
      </w:pPr>
      <w:r>
        <w:rPr>
          <w:rFonts w:hint="eastAsia" w:ascii="宋体" w:hAnsi="宋体" w:cs="宋体"/>
          <w:color w:val="000000"/>
          <w:kern w:val="2"/>
          <w:sz w:val="30"/>
          <w:szCs w:val="30"/>
          <w:highlight w:val="yellow"/>
          <w:lang w:val="en-US" w:eastAsia="zh-CN" w:bidi="ar-SA"/>
        </w:rPr>
        <w:t>2.</w:t>
      </w:r>
      <w:r>
        <w:rPr>
          <w:rFonts w:hint="eastAsia" w:ascii="宋体" w:hAnsi="宋体" w:eastAsia="宋体" w:cs="宋体"/>
          <w:color w:val="000000"/>
          <w:kern w:val="2"/>
          <w:sz w:val="30"/>
          <w:szCs w:val="30"/>
          <w:highlight w:val="yellow"/>
          <w:lang w:val="en-US" w:eastAsia="zh-CN" w:bidi="ar-SA"/>
        </w:rPr>
        <w:t>质保期内，如配件有质量问题，需重新更换配件，更换的配件需要在48小时内到货</w:t>
      </w:r>
      <w:r>
        <w:rPr>
          <w:rFonts w:hint="eastAsia" w:ascii="宋体" w:hAnsi="宋体" w:cs="宋体"/>
          <w:color w:val="000000"/>
          <w:kern w:val="2"/>
          <w:sz w:val="30"/>
          <w:szCs w:val="30"/>
          <w:highlight w:val="yellow"/>
          <w:lang w:val="en-US" w:eastAsia="zh-CN" w:bidi="ar-SA"/>
        </w:rPr>
        <w:t>。</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8、售后要求：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8.1质保期自验收合格之日起不得少于</w:t>
      </w:r>
      <w:r>
        <w:rPr>
          <w:rFonts w:hint="eastAsia"/>
          <w:b/>
          <w:bCs/>
          <w:kern w:val="2"/>
          <w:sz w:val="30"/>
          <w:szCs w:val="30"/>
          <w:highlight w:val="yellow"/>
          <w:lang w:val="en-US" w:eastAsia="zh-CN"/>
        </w:rPr>
        <w:t>12个月</w:t>
      </w:r>
      <w:r>
        <w:rPr>
          <w:rFonts w:hint="eastAsia"/>
          <w:kern w:val="2"/>
          <w:sz w:val="30"/>
          <w:szCs w:val="30"/>
        </w:rPr>
        <w:t>。</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8.2响应供应商须提供完善的售后服务，如果设备发生故障，响应供应商须在接到采购人通知后</w:t>
      </w:r>
      <w:r>
        <w:rPr>
          <w:rFonts w:hint="eastAsia"/>
          <w:b/>
          <w:bCs/>
          <w:color w:val="auto"/>
          <w:kern w:val="2"/>
          <w:sz w:val="30"/>
          <w:szCs w:val="30"/>
          <w:highlight w:val="yellow"/>
          <w:lang w:val="en-US" w:eastAsia="zh-CN"/>
        </w:rPr>
        <w:t>48</w:t>
      </w:r>
      <w:r>
        <w:rPr>
          <w:rFonts w:hint="eastAsia"/>
          <w:kern w:val="2"/>
          <w:sz w:val="30"/>
          <w:szCs w:val="30"/>
        </w:rPr>
        <w:t>小时内指派专业技术人员到达采购人指定地点提供维修</w:t>
      </w:r>
      <w:r>
        <w:rPr>
          <w:rFonts w:hint="eastAsia"/>
          <w:kern w:val="2"/>
          <w:sz w:val="30"/>
          <w:szCs w:val="30"/>
          <w:highlight w:val="yellow"/>
          <w:lang w:eastAsia="zh-CN"/>
        </w:rPr>
        <w:t>或换货</w:t>
      </w:r>
      <w:r>
        <w:rPr>
          <w:rFonts w:hint="eastAsia"/>
          <w:kern w:val="2"/>
          <w:sz w:val="30"/>
          <w:szCs w:val="30"/>
        </w:rPr>
        <w:t>服务。</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9、违约赔偿：</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9.1如果卖方没有按照合同规定的时间交货和提供服务，</w:t>
      </w:r>
      <w:r>
        <w:rPr>
          <w:rFonts w:hint="eastAsia"/>
          <w:color w:val="auto"/>
          <w:kern w:val="2"/>
          <w:sz w:val="30"/>
          <w:szCs w:val="30"/>
        </w:rPr>
        <w:t>买方可从货款中扣除违约赔偿费，赔偿费应按每迟交一周，按合同总价的1%计收。但违约赔偿费的最高限额为合同总价的10%。一周按7天计算，不足</w:t>
      </w:r>
      <w:r>
        <w:rPr>
          <w:rFonts w:hint="eastAsia"/>
          <w:kern w:val="2"/>
          <w:sz w:val="30"/>
          <w:szCs w:val="30"/>
        </w:rPr>
        <w:t>7天按一周计算。如果卖方在达到最高限额后仍不能交货，买方可单方面终止合同。</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9.2如果设备发生故障，投标供应商须在响应</w:t>
      </w:r>
      <w:r>
        <w:rPr>
          <w:rFonts w:hint="eastAsia"/>
          <w:color w:val="auto"/>
          <w:kern w:val="2"/>
          <w:sz w:val="30"/>
          <w:szCs w:val="30"/>
        </w:rPr>
        <w:t>文件中承诺的时间内到达采购人处提供维修服务，“实际达到时间”每超过“承诺应到时间”24小时，扣除履约保证金5%，以此类推。在没有备用机使用的情况下，如果</w:t>
      </w:r>
      <w:r>
        <w:rPr>
          <w:rFonts w:hint="eastAsia"/>
          <w:kern w:val="2"/>
          <w:sz w:val="30"/>
          <w:szCs w:val="30"/>
        </w:rPr>
        <w:t>设备连续故障超过</w:t>
      </w:r>
      <w:r>
        <w:rPr>
          <w:rFonts w:hint="eastAsia"/>
          <w:kern w:val="2"/>
          <w:sz w:val="30"/>
          <w:szCs w:val="30"/>
          <w:highlight w:val="yellow"/>
          <w:lang w:eastAsia="zh-CN"/>
        </w:rPr>
        <w:t>一个月</w:t>
      </w:r>
      <w:r>
        <w:rPr>
          <w:rFonts w:hint="eastAsia"/>
          <w:kern w:val="2"/>
          <w:sz w:val="30"/>
          <w:szCs w:val="30"/>
        </w:rPr>
        <w:t>，采购人有权利要求投标供应商更换全新原装设备。</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10.其他要求：</w:t>
      </w:r>
    </w:p>
    <w:p>
      <w:pPr>
        <w:spacing w:line="360" w:lineRule="exact"/>
        <w:rPr>
          <w:rFonts w:asciiTheme="minorEastAsia" w:hAnsiTheme="minorEastAsia" w:eastAsiaTheme="minorEastAsia"/>
          <w:color w:val="FF0000"/>
          <w:sz w:val="24"/>
          <w:szCs w:val="24"/>
        </w:rPr>
      </w:pPr>
    </w:p>
    <w:bookmarkEnd w:id="5"/>
    <w:bookmarkEnd w:id="6"/>
    <w:bookmarkEnd w:id="7"/>
    <w:p>
      <w:pPr>
        <w:pStyle w:val="2"/>
        <w:spacing w:before="240" w:after="240"/>
        <w:jc w:val="center"/>
        <w:rPr>
          <w:b/>
          <w:sz w:val="32"/>
        </w:rPr>
      </w:pPr>
      <w:bookmarkStart w:id="9" w:name="_Toc533775668"/>
      <w:r>
        <w:rPr>
          <w:rFonts w:hint="eastAsia"/>
          <w:b/>
          <w:sz w:val="32"/>
        </w:rPr>
        <w:t>二、响应文件的编制</w:t>
      </w:r>
      <w:bookmarkEnd w:id="9"/>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1.1具有独立承担民事责任的能力的资格证明文件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2</w:t>
      </w:r>
      <w:r>
        <w:rPr>
          <w:rFonts w:hint="eastAsia"/>
          <w:kern w:val="2"/>
          <w:sz w:val="30"/>
          <w:szCs w:val="30"/>
        </w:rPr>
        <w:t xml:space="preserve">具有履行合同所必须的设备和专业技术能力的证明文件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3</w:t>
      </w:r>
      <w:r>
        <w:rPr>
          <w:rFonts w:hint="eastAsia"/>
          <w:kern w:val="2"/>
          <w:sz w:val="30"/>
          <w:szCs w:val="30"/>
        </w:rPr>
        <w:t xml:space="preserve"> 有依法缴纳税收和社会保障资金的良好记录的证明文件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4</w:t>
      </w:r>
      <w:r>
        <w:rPr>
          <w:rFonts w:hint="eastAsia"/>
          <w:kern w:val="2"/>
          <w:sz w:val="30"/>
          <w:szCs w:val="30"/>
        </w:rPr>
        <w:t xml:space="preserve">参加采购前三年内,在经营活动中没有重大违法记录的证明文件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5</w:t>
      </w:r>
      <w:r>
        <w:rPr>
          <w:rFonts w:hint="eastAsia"/>
          <w:kern w:val="2"/>
          <w:sz w:val="30"/>
          <w:szCs w:val="30"/>
        </w:rPr>
        <w:t xml:space="preserve">法定代表人授权书 </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6</w:t>
      </w:r>
      <w:r>
        <w:rPr>
          <w:rFonts w:hint="eastAsia"/>
          <w:kern w:val="2"/>
          <w:sz w:val="30"/>
          <w:szCs w:val="30"/>
        </w:rPr>
        <w:t>供应商的资格声明</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7</w:t>
      </w:r>
      <w:r>
        <w:rPr>
          <w:rFonts w:hint="eastAsia"/>
          <w:kern w:val="2"/>
          <w:sz w:val="30"/>
          <w:szCs w:val="30"/>
        </w:rPr>
        <w:t>谈判保证金凭证</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US" w:eastAsia="zh-CN"/>
        </w:rPr>
        <w:t>8</w:t>
      </w:r>
      <w:r>
        <w:rPr>
          <w:rFonts w:hint="eastAsia"/>
          <w:kern w:val="2"/>
          <w:sz w:val="30"/>
          <w:szCs w:val="30"/>
        </w:rPr>
        <w:t xml:space="preserve"> 其他资格证明文件</w:t>
      </w:r>
    </w:p>
    <w:p>
      <w:pPr>
        <w:pStyle w:val="16"/>
        <w:spacing w:before="0" w:beforeAutospacing="0" w:after="0" w:afterAutospacing="0" w:line="460" w:lineRule="exact"/>
        <w:ind w:firstLine="602" w:firstLineChars="200"/>
        <w:jc w:val="both"/>
        <w:rPr>
          <w:kern w:val="2"/>
          <w:sz w:val="30"/>
          <w:szCs w:val="30"/>
        </w:rPr>
      </w:pPr>
      <w:r>
        <w:rPr>
          <w:rFonts w:hint="eastAsia"/>
          <w:b/>
          <w:bCs/>
          <w:kern w:val="2"/>
          <w:sz w:val="30"/>
          <w:szCs w:val="30"/>
        </w:rPr>
        <w:t>2. 响应文件计量单位</w:t>
      </w:r>
      <w:r>
        <w:rPr>
          <w:rFonts w:hint="eastAsia"/>
          <w:kern w:val="2"/>
          <w:sz w:val="30"/>
          <w:szCs w:val="30"/>
        </w:rPr>
        <w:tab/>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响应文件中所使用的计量单位, 除谈判文件中有特殊要求外，均应采用国家法定计量单位。</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3.响应文件的构成（格式详见附件）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3.1响应文件应由下列部分构成</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谈判响应书</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分项报价表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技术规格</w:t>
      </w:r>
      <w:r>
        <w:rPr>
          <w:rFonts w:hint="eastAsia"/>
          <w:kern w:val="2"/>
          <w:sz w:val="30"/>
          <w:szCs w:val="30"/>
          <w:lang w:val="en-GB"/>
        </w:rPr>
        <w:t>响应/偏离</w:t>
      </w:r>
      <w:r>
        <w:rPr>
          <w:rFonts w:hint="eastAsia"/>
          <w:kern w:val="2"/>
          <w:sz w:val="30"/>
          <w:szCs w:val="30"/>
        </w:rPr>
        <w:t>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商务条款响应/偏离表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 其他证明资料</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 技术文件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 供应商应当提交的资格、资信证明文件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3.2供应商应将响应文件</w:t>
      </w:r>
      <w:r>
        <w:rPr>
          <w:rFonts w:hint="eastAsia"/>
          <w:b/>
          <w:bCs/>
          <w:kern w:val="2"/>
          <w:sz w:val="30"/>
          <w:szCs w:val="30"/>
        </w:rPr>
        <w:t>胶装</w:t>
      </w:r>
      <w:r>
        <w:rPr>
          <w:rFonts w:hint="eastAsia"/>
          <w:kern w:val="2"/>
          <w:sz w:val="30"/>
          <w:szCs w:val="30"/>
        </w:rPr>
        <w:t>成册，并编写目录。</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谈判报价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4.1谈判报价均以人民币报价，报价内容包含谈判文件规定的货物，标准附件，备品备件，专用工具，安装、调试、检验，培训，技术服务，运至最终目的地的运费和保险费等相关费用。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4.2供应商要按报价表（统一格式）和分项报价表（统一格式）的内容填写产品单价、总价及其他事项。</w:t>
      </w:r>
    </w:p>
    <w:p>
      <w:pPr>
        <w:pStyle w:val="16"/>
        <w:spacing w:before="0" w:beforeAutospacing="0" w:after="0" w:afterAutospacing="0" w:line="460" w:lineRule="exact"/>
        <w:ind w:firstLine="602" w:firstLineChars="200"/>
        <w:jc w:val="both"/>
        <w:rPr>
          <w:rFonts w:hint="eastAsia"/>
          <w:b/>
          <w:bCs/>
          <w:color w:val="FF0000"/>
          <w:kern w:val="2"/>
          <w:sz w:val="30"/>
          <w:szCs w:val="30"/>
        </w:rPr>
      </w:pPr>
      <w:r>
        <w:rPr>
          <w:rFonts w:hint="eastAsia"/>
          <w:b/>
          <w:bCs/>
          <w:kern w:val="2"/>
          <w:sz w:val="30"/>
          <w:szCs w:val="30"/>
        </w:rPr>
        <w:t>4.3本项目采购预算价为</w:t>
      </w:r>
      <w:r>
        <w:rPr>
          <w:rFonts w:hint="eastAsia"/>
          <w:b/>
          <w:bCs/>
          <w:kern w:val="2"/>
          <w:sz w:val="30"/>
          <w:szCs w:val="30"/>
          <w:highlight w:val="yellow"/>
          <w:lang w:val="en-US" w:eastAsia="zh-CN"/>
        </w:rPr>
        <w:t>124950</w:t>
      </w:r>
      <w:r>
        <w:rPr>
          <w:rFonts w:hint="eastAsia"/>
          <w:b/>
          <w:bCs/>
          <w:kern w:val="2"/>
          <w:sz w:val="30"/>
          <w:szCs w:val="30"/>
        </w:rPr>
        <w:t>元。响应文件中的响应报价（即首次报价）超出采购项目预算价的响应无效，做无效标处理；开标现场报价时所提交的报价超出采购项目预算价或超出响应文件中的响应报价（即首次报价）的响应无效，做无效标处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 谈判保证金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5.1</w:t>
      </w:r>
      <w:r>
        <w:rPr>
          <w:rFonts w:hint="eastAsia"/>
          <w:kern w:val="2"/>
          <w:sz w:val="30"/>
          <w:szCs w:val="30"/>
          <w:highlight w:val="yellow"/>
        </w:rPr>
        <w:t>供应商向采购人提交规定的谈判保证金须在开标当天上午8：00前到账，</w:t>
      </w:r>
      <w:r>
        <w:rPr>
          <w:rFonts w:hint="eastAsia"/>
          <w:kern w:val="2"/>
          <w:sz w:val="30"/>
          <w:szCs w:val="30"/>
        </w:rPr>
        <w:t>并作为其响应文件的一部分。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5.2 任何未按要求提交谈判保证金的响应文件被视为无效。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5.3 未成交供应商的谈判保证金，在成交通知书发出后5个工作日内退还。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5.4有下列情形之一的，保证金不予退还：</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 供应商在提交响应文件截止时间后撤回响应文件的；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 供应商在响应文件中提供虚假材料的；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 除因不可抗力或谈判文件认可的情形以外，成交供应商不与采购人签订合同的；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 供应商恶意串通的；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5</w:t>
      </w:r>
      <w:r>
        <w:rPr>
          <w:rFonts w:hint="eastAsia"/>
          <w:kern w:val="2"/>
          <w:sz w:val="30"/>
          <w:szCs w:val="30"/>
        </w:rPr>
        <w:t>) 成交供应商未按规定提交履约保证金（如有）；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w:t>
      </w:r>
      <w:r>
        <w:rPr>
          <w:rFonts w:hint="eastAsia"/>
          <w:kern w:val="2"/>
          <w:sz w:val="30"/>
          <w:szCs w:val="30"/>
          <w:lang w:val="en-US" w:eastAsia="zh-CN"/>
        </w:rPr>
        <w:t>6</w:t>
      </w:r>
      <w:r>
        <w:rPr>
          <w:rFonts w:hint="eastAsia"/>
          <w:kern w:val="2"/>
          <w:sz w:val="30"/>
          <w:szCs w:val="30"/>
        </w:rPr>
        <w:t>) 采购文件规定的其他情形。</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6. 响应文件的签署及规定</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6.1 供应商应准备响应文件正本和副本各一份密封装在信封中， 封口处有谈判全权代表的签字或单位公章。封皮上注明谈判项目名称、项目编号、供应商名称、地址、邮政编码、电话、联系人，并注明“谈判时启封”字样。</w:t>
      </w:r>
    </w:p>
    <w:p>
      <w:pPr>
        <w:pStyle w:val="16"/>
        <w:spacing w:before="0" w:beforeAutospacing="0" w:after="0" w:afterAutospacing="0" w:line="460" w:lineRule="exact"/>
        <w:jc w:val="both"/>
        <w:rPr>
          <w:kern w:val="2"/>
          <w:sz w:val="30"/>
          <w:szCs w:val="30"/>
        </w:rPr>
      </w:pPr>
      <w:r>
        <w:rPr>
          <w:rFonts w:hint="eastAsia"/>
          <w:kern w:val="2"/>
          <w:sz w:val="30"/>
          <w:szCs w:val="30"/>
        </w:rPr>
        <w:t>每套响应文件须清楚地标明</w:t>
      </w:r>
      <w:r>
        <w:rPr>
          <w:rFonts w:hint="eastAsia"/>
          <w:b/>
          <w:bCs/>
          <w:kern w:val="2"/>
          <w:sz w:val="30"/>
          <w:szCs w:val="30"/>
        </w:rPr>
        <w:t>“正本”或“副本”</w:t>
      </w:r>
      <w:r>
        <w:rPr>
          <w:rFonts w:hint="eastAsia"/>
          <w:kern w:val="2"/>
          <w:sz w:val="30"/>
          <w:szCs w:val="30"/>
        </w:rPr>
        <w:t>。若正本和副本不符，以正本为准。</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6.2响应文件的正本必须打印，并按谈判文件的要求</w:t>
      </w:r>
      <w:r>
        <w:rPr>
          <w:rFonts w:hint="eastAsia"/>
          <w:b/>
          <w:bCs/>
          <w:kern w:val="2"/>
          <w:sz w:val="30"/>
          <w:szCs w:val="30"/>
        </w:rPr>
        <w:t>签字、签章</w:t>
      </w:r>
      <w:r>
        <w:rPr>
          <w:rFonts w:hint="eastAsia"/>
          <w:kern w:val="2"/>
          <w:sz w:val="30"/>
          <w:szCs w:val="30"/>
        </w:rPr>
        <w:t>。副本可采用正本的复印件。</w:t>
      </w:r>
      <w:r>
        <w:rPr>
          <w:rFonts w:hint="eastAsia"/>
          <w:b/>
          <w:bCs/>
          <w:kern w:val="2"/>
          <w:sz w:val="30"/>
          <w:szCs w:val="30"/>
        </w:rPr>
        <w:t>响应文件正、副本均须胶装，否则被视为无效响应文件。</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6.3 响应文件不得涂改和增删，如有修改，必须由响应文件签字人签字或盖章。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6.4 响应文件因字迹潦草或表达不清所引起的后果由供应商负责。</w:t>
      </w:r>
    </w:p>
    <w:p>
      <w:pPr>
        <w:pStyle w:val="16"/>
        <w:spacing w:before="0" w:beforeAutospacing="0" w:after="0" w:afterAutospacing="0" w:line="460" w:lineRule="exact"/>
        <w:ind w:firstLine="600" w:firstLineChars="200"/>
        <w:jc w:val="both"/>
        <w:rPr>
          <w:b/>
          <w:bCs/>
          <w:kern w:val="2"/>
          <w:sz w:val="30"/>
          <w:szCs w:val="30"/>
        </w:rPr>
      </w:pPr>
      <w:r>
        <w:rPr>
          <w:rFonts w:hint="eastAsia"/>
          <w:kern w:val="2"/>
          <w:sz w:val="30"/>
          <w:szCs w:val="30"/>
        </w:rPr>
        <w:t>6.5谈判保证金凭据复印件须装订在响应文件中</w:t>
      </w:r>
      <w:r>
        <w:rPr>
          <w:rFonts w:hint="eastAsia"/>
          <w:b/>
          <w:bCs/>
          <w:kern w:val="2"/>
          <w:sz w:val="30"/>
          <w:szCs w:val="30"/>
        </w:rPr>
        <w:t>（响应文件正、副本中须附有）。</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6.6供应商必须在规定的截止时间前，将响应文件密封送达指定地点。在响应文件递交截止时间以后送达的响应文件为无效响应文件。</w:t>
      </w:r>
    </w:p>
    <w:p>
      <w:pPr>
        <w:pStyle w:val="2"/>
        <w:spacing w:before="240" w:after="240"/>
        <w:jc w:val="center"/>
        <w:rPr>
          <w:b/>
          <w:sz w:val="32"/>
        </w:rPr>
      </w:pPr>
      <w:bookmarkStart w:id="10" w:name="_Toc533775669"/>
      <w:r>
        <w:rPr>
          <w:rFonts w:hint="eastAsia"/>
          <w:b/>
          <w:sz w:val="32"/>
        </w:rPr>
        <w:t>三、</w:t>
      </w:r>
      <w:bookmarkEnd w:id="10"/>
      <w:bookmarkStart w:id="11" w:name="_Toc533775670"/>
      <w:r>
        <w:rPr>
          <w:rFonts w:hint="eastAsia"/>
          <w:b/>
          <w:sz w:val="32"/>
        </w:rPr>
        <w:t>谈判</w:t>
      </w:r>
      <w:bookmarkEnd w:id="11"/>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1. 谈判程序</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w:t>
      </w:r>
      <w:r>
        <w:rPr>
          <w:rFonts w:hint="eastAsia"/>
          <w:kern w:val="2"/>
          <w:sz w:val="30"/>
          <w:szCs w:val="30"/>
          <w:lang w:val="en-GB"/>
        </w:rPr>
        <w:t>.1谈判小组对各供应商的谈判响应文件进行初审，并确定谈判内容。</w:t>
      </w:r>
      <w:r>
        <w:rPr>
          <w:rFonts w:hint="eastAsia"/>
          <w:kern w:val="2"/>
          <w:sz w:val="30"/>
          <w:szCs w:val="30"/>
        </w:rPr>
        <w:t>谈判响应文件的初审分为</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（1）资格性检查。依据法律法规和谈判</w:t>
      </w:r>
      <w:r>
        <w:rPr>
          <w:rFonts w:hint="eastAsia"/>
          <w:kern w:val="2"/>
          <w:sz w:val="30"/>
          <w:szCs w:val="30"/>
        </w:rPr>
        <w:t>文件“响应文件格式”的规定，对响应文件中的资格证明文件进行审查，以确定供应商是否具备参加谈判资格。</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（2）符合性检查。依据谈判文件的规定，从响应文件的有效性、完整性和对谈判文件的响应程度进行审查，以确定是否对谈判文件的实质性要求做出响应。</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w:t>
      </w:r>
      <w:r>
        <w:rPr>
          <w:rFonts w:hint="eastAsia"/>
          <w:kern w:val="2"/>
          <w:sz w:val="30"/>
          <w:szCs w:val="30"/>
        </w:rPr>
        <w:t>2</w:t>
      </w:r>
      <w:r>
        <w:rPr>
          <w:rFonts w:hint="eastAsia"/>
          <w:kern w:val="2"/>
          <w:sz w:val="30"/>
          <w:szCs w:val="30"/>
          <w:lang w:val="en-GB"/>
        </w:rPr>
        <w:t>初审出现下列情况者，响应文件被视为无效</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1）</w:t>
      </w:r>
      <w:r>
        <w:rPr>
          <w:rFonts w:hint="eastAsia"/>
          <w:kern w:val="2"/>
          <w:sz w:val="30"/>
          <w:szCs w:val="30"/>
          <w:lang w:val="en-GB"/>
        </w:rPr>
        <w:t>未提交谈判响应书；</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2）未提交报价表；</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3）</w:t>
      </w:r>
      <w:r>
        <w:rPr>
          <w:rFonts w:hint="eastAsia"/>
          <w:kern w:val="2"/>
          <w:sz w:val="30"/>
          <w:szCs w:val="30"/>
          <w:lang w:val="en-GB"/>
        </w:rPr>
        <w:t>未提供谈判保证金或金额不足，谈判保证金形式不符合谈判文件要求的；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4）</w:t>
      </w:r>
      <w:r>
        <w:rPr>
          <w:rFonts w:hint="eastAsia"/>
          <w:kern w:val="2"/>
          <w:sz w:val="30"/>
          <w:szCs w:val="30"/>
          <w:lang w:val="en-GB"/>
        </w:rPr>
        <w:t>未按谈判</w:t>
      </w:r>
      <w:r>
        <w:rPr>
          <w:rFonts w:hint="eastAsia"/>
          <w:kern w:val="2"/>
          <w:sz w:val="30"/>
          <w:szCs w:val="30"/>
        </w:rPr>
        <w:t>文件“ 响应文件格式</w:t>
      </w:r>
      <w:r>
        <w:rPr>
          <w:rFonts w:hint="eastAsia"/>
          <w:kern w:val="2"/>
          <w:sz w:val="30"/>
          <w:szCs w:val="30"/>
          <w:lang w:val="en-US" w:eastAsia="zh-CN"/>
        </w:rPr>
        <w:t>8</w:t>
      </w:r>
      <w:r>
        <w:rPr>
          <w:rFonts w:hint="eastAsia"/>
          <w:kern w:val="2"/>
          <w:sz w:val="30"/>
          <w:szCs w:val="30"/>
        </w:rPr>
        <w:t>”的规定提供</w:t>
      </w:r>
      <w:r>
        <w:rPr>
          <w:rFonts w:hint="eastAsia"/>
          <w:kern w:val="2"/>
          <w:sz w:val="30"/>
          <w:szCs w:val="30"/>
          <w:lang w:val="en-GB"/>
        </w:rPr>
        <w:t>资格、资信证明文件的；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5）未按谈判文件要求签字、签章的，或签字（签章）人无法定代表人有效委托的；</w:t>
      </w:r>
    </w:p>
    <w:p>
      <w:pPr>
        <w:pStyle w:val="16"/>
        <w:spacing w:before="0" w:beforeAutospacing="0" w:after="0" w:afterAutospacing="0" w:line="460" w:lineRule="exact"/>
        <w:ind w:firstLine="600" w:firstLineChars="200"/>
        <w:jc w:val="both"/>
        <w:rPr>
          <w:color w:val="auto"/>
          <w:kern w:val="2"/>
          <w:sz w:val="30"/>
          <w:szCs w:val="30"/>
          <w:highlight w:val="none"/>
        </w:rPr>
      </w:pPr>
      <w:r>
        <w:rPr>
          <w:rFonts w:hint="eastAsia"/>
          <w:color w:val="auto"/>
          <w:kern w:val="2"/>
          <w:sz w:val="30"/>
          <w:szCs w:val="30"/>
          <w:highlight w:val="none"/>
        </w:rPr>
        <w:t>6）谈判文件规定为国产产品，提供进口产品参加谈判的。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7）</w:t>
      </w:r>
      <w:r>
        <w:rPr>
          <w:rFonts w:hint="eastAsia"/>
          <w:kern w:val="2"/>
          <w:sz w:val="30"/>
          <w:szCs w:val="30"/>
          <w:lang w:val="en-GB"/>
        </w:rPr>
        <w:t>技术文件技术规格中的响应与事实不符或虚假响应的；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8）首次报价超过了采购项目预算或最高限价的；</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rPr>
        <w:t>9）谈判文件规定的其他响应无效条款。</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 xml:space="preserve">1.3谈判 </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1.4谈判文件修正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（1）在谈判过程中，谈判小组可以根据谈判文件和谈判情况实质性变动采购需求中的技术、服务要求以及合同草案条款，但不得变动谈判文件中的其他内容。实质性变动的内容，须经采购人代表确认。</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（2）对谈判文件做出的实质性变动是谈判文件的有效组成部分，谈判小组应当及时以书面形式同时通知所有参加谈判的供应商。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（3）供应商按照谈判文件的变动情况和谈判小组的要求重新提交响应文件，并由其法定代表人或授权代表签字或者加盖公章。</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2.错误修正</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2.1二次报价（最终报价）的大写金额和小写金额不一致的，以大写金额为准；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2.2单价金额小数点有明显错位的，应以总价为准，并修改单价；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2.3总价金额与按单价汇总金额不一致的，以单价金额计算结果为准。</w:t>
      </w:r>
    </w:p>
    <w:p>
      <w:pPr>
        <w:pStyle w:val="16"/>
        <w:spacing w:before="0" w:beforeAutospacing="0" w:after="0" w:afterAutospacing="0" w:line="460" w:lineRule="exact"/>
        <w:ind w:firstLine="602" w:firstLineChars="200"/>
        <w:jc w:val="both"/>
        <w:rPr>
          <w:b/>
          <w:bCs/>
          <w:kern w:val="2"/>
          <w:sz w:val="30"/>
          <w:szCs w:val="30"/>
        </w:rPr>
      </w:pPr>
      <w:r>
        <w:rPr>
          <w:rFonts w:hint="eastAsia"/>
          <w:b/>
          <w:bCs/>
          <w:kern w:val="2"/>
          <w:sz w:val="30"/>
          <w:szCs w:val="30"/>
        </w:rPr>
        <w:t>3.最后报价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（1）谈判结束后，谈判小组要求所有继续参加谈判的供应商在规定时间内提交最后报价，提交最后报价的供应商不得少于3家；最后报价超过了采购项目预算或最高限价的，</w:t>
      </w:r>
      <w:r>
        <w:rPr>
          <w:rFonts w:hint="eastAsia"/>
          <w:kern w:val="2"/>
          <w:sz w:val="30"/>
          <w:szCs w:val="30"/>
          <w:lang w:val="en-GB"/>
        </w:rPr>
        <w:t>被视为无效。</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（2）最后报价是供应商响应文件的有效组成部分。</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（3）最后报价如未作分项报价的，其分项报价则按总报价的降价比例计算。</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lang w:val="en-GB"/>
        </w:rPr>
        <w:t>（4）</w:t>
      </w:r>
      <w:r>
        <w:rPr>
          <w:rFonts w:hint="eastAsia"/>
          <w:kern w:val="2"/>
          <w:sz w:val="30"/>
          <w:szCs w:val="30"/>
        </w:rPr>
        <w:t>若没有对采购需求中的技术、服务要求以及合同草案条款做实质性修改或对采购需求中的 技术、服务要求以及合同草案条款进行了实质性修改，但没有提高要求，最后报价不得高于上一轮报价；否则，视为无效响应。</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（5）未在规定时间内提交最后报价或最后报价不符合谈判文件要求的；视为无效响应。</w:t>
      </w:r>
    </w:p>
    <w:p>
      <w:pPr>
        <w:pStyle w:val="16"/>
        <w:spacing w:before="0" w:beforeAutospacing="0" w:after="0" w:afterAutospacing="0" w:line="460" w:lineRule="exact"/>
        <w:ind w:firstLine="600" w:firstLineChars="200"/>
        <w:jc w:val="both"/>
        <w:rPr>
          <w:kern w:val="2"/>
          <w:sz w:val="30"/>
          <w:szCs w:val="30"/>
        </w:rPr>
      </w:pPr>
      <w:bookmarkStart w:id="12" w:name="_Toc376848253"/>
      <w:r>
        <w:rPr>
          <w:rFonts w:hint="eastAsia"/>
          <w:kern w:val="2"/>
          <w:sz w:val="30"/>
          <w:szCs w:val="30"/>
        </w:rPr>
        <w:t>4.终止谈判采购活动的情形</w:t>
      </w:r>
    </w:p>
    <w:p>
      <w:pPr>
        <w:pStyle w:val="16"/>
        <w:spacing w:before="0" w:beforeAutospacing="0" w:after="0" w:afterAutospacing="0" w:line="460" w:lineRule="exact"/>
        <w:ind w:firstLine="600" w:firstLineChars="200"/>
        <w:jc w:val="both"/>
        <w:rPr>
          <w:kern w:val="2"/>
          <w:sz w:val="30"/>
          <w:szCs w:val="30"/>
          <w:lang w:val="en-GB"/>
        </w:rPr>
      </w:pPr>
      <w:r>
        <w:rPr>
          <w:rFonts w:hint="eastAsia"/>
          <w:kern w:val="2"/>
          <w:sz w:val="30"/>
          <w:szCs w:val="30"/>
          <w:lang w:val="en-GB"/>
        </w:rPr>
        <w:t>出现下列情形之一的，终止谈判采购活动</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（1）因情况变化，不再符合规定的谈判采购方式适用情形的；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（2）出现影响采购公正的违法、违规行为的。</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（3）在采购过程中符合竞争要求的供应商或者报价未超过采购预算的供应商不足3家的。</w:t>
      </w:r>
      <w:bookmarkStart w:id="13" w:name="_Toc377297026"/>
    </w:p>
    <w:bookmarkEnd w:id="13"/>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5.推荐成交候选供应商方法：</w:t>
      </w:r>
      <w:r>
        <w:rPr>
          <w:rFonts w:hint="eastAsia"/>
          <w:kern w:val="2"/>
          <w:sz w:val="30"/>
          <w:szCs w:val="30"/>
          <w:lang w:val="en-GB"/>
        </w:rPr>
        <w:t>谈判小组从质量和服务均能满足采购文件实质性响应要求的供应商中，按照最后报价由低到高的</w:t>
      </w:r>
      <w:r>
        <w:rPr>
          <w:rFonts w:hint="eastAsia"/>
          <w:color w:val="auto"/>
          <w:kern w:val="2"/>
          <w:sz w:val="30"/>
          <w:szCs w:val="30"/>
          <w:lang w:val="en-GB"/>
        </w:rPr>
        <w:t>顺序提出</w:t>
      </w:r>
      <w:r>
        <w:rPr>
          <w:rFonts w:hint="eastAsia"/>
          <w:color w:val="auto"/>
          <w:kern w:val="2"/>
          <w:sz w:val="30"/>
          <w:szCs w:val="30"/>
        </w:rPr>
        <w:t>1</w:t>
      </w:r>
      <w:r>
        <w:rPr>
          <w:rFonts w:hint="eastAsia"/>
          <w:color w:val="auto"/>
          <w:kern w:val="2"/>
          <w:sz w:val="30"/>
          <w:szCs w:val="30"/>
          <w:lang w:val="en-GB"/>
        </w:rPr>
        <w:t>名成交候选人，并编写评审报告。</w:t>
      </w:r>
    </w:p>
    <w:bookmarkEnd w:id="12"/>
    <w:p>
      <w:pPr>
        <w:pStyle w:val="16"/>
        <w:spacing w:before="0" w:beforeAutospacing="0" w:after="0" w:afterAutospacing="0" w:line="460" w:lineRule="exact"/>
        <w:ind w:firstLine="600" w:firstLineChars="200"/>
        <w:jc w:val="both"/>
        <w:rPr>
          <w:kern w:val="2"/>
          <w:sz w:val="30"/>
          <w:szCs w:val="30"/>
        </w:rPr>
      </w:pPr>
      <w:bookmarkStart w:id="14" w:name="_Toc286758340"/>
      <w:r>
        <w:rPr>
          <w:rFonts w:hint="eastAsia"/>
          <w:kern w:val="2"/>
          <w:sz w:val="30"/>
          <w:szCs w:val="30"/>
        </w:rPr>
        <w:t xml:space="preserve">6. </w:t>
      </w:r>
      <w:bookmarkEnd w:id="14"/>
      <w:r>
        <w:rPr>
          <w:rFonts w:hint="eastAsia"/>
          <w:kern w:val="2"/>
          <w:sz w:val="30"/>
          <w:szCs w:val="30"/>
        </w:rPr>
        <w:t>成交结果公告</w:t>
      </w:r>
    </w:p>
    <w:p>
      <w:pPr>
        <w:spacing w:line="440" w:lineRule="atLeast"/>
        <w:ind w:firstLine="600" w:firstLineChars="200"/>
        <w:rPr>
          <w:rFonts w:ascii="宋体" w:hAnsi="宋体" w:cs="宋体"/>
          <w:sz w:val="30"/>
          <w:szCs w:val="30"/>
        </w:rPr>
      </w:pPr>
      <w:r>
        <w:rPr>
          <w:rFonts w:hint="eastAsia" w:ascii="宋体" w:hAnsi="宋体" w:cs="宋体"/>
          <w:sz w:val="30"/>
          <w:szCs w:val="30"/>
        </w:rPr>
        <w:t>成交供应商确定后，赣州市人民医院网上公告成交结果，公告期限为1个工作日。向成交供应商发出成交通知书。成交通知书是合同的一个组成部分。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7.质疑</w:t>
      </w:r>
    </w:p>
    <w:p>
      <w:pPr>
        <w:pStyle w:val="16"/>
        <w:spacing w:before="0" w:beforeAutospacing="0" w:after="0" w:afterAutospacing="0" w:line="460" w:lineRule="exact"/>
        <w:ind w:firstLine="600" w:firstLineChars="200"/>
        <w:jc w:val="both"/>
        <w:rPr>
          <w:kern w:val="2"/>
          <w:sz w:val="30"/>
          <w:szCs w:val="30"/>
        </w:rPr>
      </w:pPr>
      <w:bookmarkStart w:id="15" w:name="_Toc376848255"/>
      <w:bookmarkStart w:id="16" w:name="_Toc286758341"/>
      <w:bookmarkStart w:id="17" w:name="_Toc445715221"/>
      <w:r>
        <w:rPr>
          <w:rFonts w:hint="eastAsia"/>
          <w:kern w:val="2"/>
          <w:sz w:val="30"/>
          <w:szCs w:val="30"/>
        </w:rPr>
        <w:t>7.1 供应商认为谈判文件、谈判过程、成交结果使自己的权益受到损害的，可以在知道或者应知其权益受到损害之日起3日内，以书面形式向采购人提出质疑。</w:t>
      </w:r>
    </w:p>
    <w:p>
      <w:pPr>
        <w:pStyle w:val="16"/>
        <w:spacing w:before="0" w:beforeAutospacing="0" w:after="0" w:afterAutospacing="0" w:line="460" w:lineRule="exact"/>
        <w:ind w:firstLine="600" w:firstLineChars="200"/>
        <w:jc w:val="both"/>
        <w:rPr>
          <w:color w:val="auto"/>
          <w:kern w:val="2"/>
          <w:sz w:val="30"/>
          <w:szCs w:val="30"/>
        </w:rPr>
      </w:pPr>
      <w:r>
        <w:rPr>
          <w:rFonts w:hint="eastAsia"/>
          <w:kern w:val="2"/>
          <w:sz w:val="30"/>
          <w:szCs w:val="30"/>
        </w:rPr>
        <w:t>1）对可以质疑的谈判文件提出质疑的，为收到谈判文件之日或者谈判文件公告期限届满之</w:t>
      </w:r>
      <w:r>
        <w:rPr>
          <w:rFonts w:hint="eastAsia"/>
          <w:color w:val="auto"/>
          <w:kern w:val="2"/>
          <w:sz w:val="30"/>
          <w:szCs w:val="30"/>
        </w:rPr>
        <w:t>日起3日内；</w:t>
      </w:r>
    </w:p>
    <w:p>
      <w:pPr>
        <w:pStyle w:val="16"/>
        <w:spacing w:before="0" w:beforeAutospacing="0" w:after="0" w:afterAutospacing="0" w:line="460" w:lineRule="exact"/>
        <w:ind w:firstLine="600" w:firstLineChars="200"/>
        <w:jc w:val="both"/>
        <w:rPr>
          <w:color w:val="auto"/>
          <w:kern w:val="2"/>
          <w:sz w:val="30"/>
          <w:szCs w:val="30"/>
        </w:rPr>
      </w:pPr>
      <w:r>
        <w:rPr>
          <w:rFonts w:hint="eastAsia"/>
          <w:color w:val="auto"/>
          <w:kern w:val="2"/>
          <w:sz w:val="30"/>
          <w:szCs w:val="30"/>
        </w:rPr>
        <w:t>2）对谈判过程、对成交结果提出质疑的，为各谈判程序环节结束之日起3日内；</w:t>
      </w:r>
    </w:p>
    <w:p>
      <w:pPr>
        <w:pStyle w:val="16"/>
        <w:spacing w:before="0" w:beforeAutospacing="0" w:after="0" w:afterAutospacing="0" w:line="460" w:lineRule="exact"/>
        <w:ind w:firstLine="600" w:firstLineChars="200"/>
        <w:jc w:val="both"/>
        <w:rPr>
          <w:kern w:val="2"/>
          <w:sz w:val="30"/>
          <w:szCs w:val="30"/>
        </w:rPr>
      </w:pPr>
      <w:r>
        <w:rPr>
          <w:rFonts w:hint="eastAsia"/>
          <w:color w:val="auto"/>
          <w:kern w:val="2"/>
          <w:sz w:val="30"/>
          <w:szCs w:val="30"/>
        </w:rPr>
        <w:t>7.2 供应商应在法定质</w:t>
      </w:r>
      <w:r>
        <w:rPr>
          <w:rFonts w:hint="eastAsia"/>
          <w:kern w:val="2"/>
          <w:sz w:val="30"/>
          <w:szCs w:val="30"/>
        </w:rPr>
        <w:t>疑期内一次性提出针对同一采购程序环节的质疑。</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7.3 提出质疑的供应商应当是参与所质疑项目采购活动的供应商。</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7.4供应商提出质疑应当提交质疑函和必要的证明材料。质疑函应当包括下列内容：</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（一）供应商的姓名或者名称、地址、邮编、联系人及联系电话；</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（二）质疑项目的名称、编号；</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（三）具体、明确的质疑事项和与质疑事项相关的请求；</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（四）事实依据；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（五）必要的法律依据；</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（六）提出质疑的日期。</w:t>
      </w:r>
    </w:p>
    <w:p>
      <w:pPr>
        <w:pStyle w:val="16"/>
        <w:spacing w:before="0" w:beforeAutospacing="0" w:after="0" w:afterAutospacing="0" w:line="460" w:lineRule="exact"/>
        <w:ind w:firstLine="600" w:firstLineChars="200"/>
        <w:jc w:val="both"/>
        <w:rPr>
          <w:kern w:val="2"/>
          <w:sz w:val="30"/>
          <w:szCs w:val="30"/>
        </w:rPr>
      </w:pPr>
      <w:r>
        <w:rPr>
          <w:rFonts w:hint="eastAsia"/>
          <w:kern w:val="2"/>
          <w:sz w:val="30"/>
          <w:szCs w:val="30"/>
        </w:rPr>
        <w:t>供应商为自然人的，应当由本人签字；供应商为法人或者其他组织的，应当由法定代表人、主要负责人，或者其授权代表签字或者盖章，并加盖公章。</w:t>
      </w:r>
    </w:p>
    <w:bookmarkEnd w:id="15"/>
    <w:bookmarkEnd w:id="16"/>
    <w:bookmarkEnd w:id="17"/>
    <w:p>
      <w:pPr>
        <w:pStyle w:val="2"/>
        <w:spacing w:before="240" w:after="240"/>
        <w:jc w:val="center"/>
        <w:rPr>
          <w:rFonts w:ascii="仿宋" w:hAnsi="仿宋" w:eastAsia="仿宋" w:cs="仿宋"/>
          <w:b/>
          <w:kern w:val="0"/>
          <w:sz w:val="32"/>
          <w:szCs w:val="32"/>
        </w:rPr>
      </w:pPr>
      <w:bookmarkStart w:id="18" w:name="_Toc533775677"/>
      <w:r>
        <w:rPr>
          <w:rFonts w:hint="eastAsia"/>
          <w:b/>
          <w:sz w:val="32"/>
        </w:rPr>
        <w:t>第三章　</w:t>
      </w:r>
      <w:bookmarkStart w:id="19" w:name="_Toc225565935"/>
      <w:bookmarkStart w:id="20" w:name="_Toc387418052"/>
      <w:r>
        <w:rPr>
          <w:rFonts w:hint="eastAsia"/>
          <w:b/>
          <w:sz w:val="32"/>
        </w:rPr>
        <w:t>合同草案</w:t>
      </w:r>
      <w:bookmarkEnd w:id="18"/>
    </w:p>
    <w:p>
      <w:pPr>
        <w:tabs>
          <w:tab w:val="left" w:pos="4620"/>
        </w:tabs>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甲、乙双方根据项目编号：********的成交结果和竞谈文件的要求，并经双方协商一致，同意按下述条件签订本合同。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1、合同文件的组成（以下内容是组成本合同文件不可分割的部分）：</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（1）本合同；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（2）中标通知书；</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（3）竞谈文件（含招标过程补充通知及答疑回复等）；</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（4）响应文件。</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2、合同范围和条件：本合同的范围和条件应与上述合同文件的规定一致。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3、设备名称、品牌型号及数量、单价：</w:t>
      </w:r>
    </w:p>
    <w:tbl>
      <w:tblPr>
        <w:tblStyle w:val="18"/>
        <w:tblW w:w="89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2192"/>
        <w:gridCol w:w="875"/>
        <w:gridCol w:w="1959"/>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61" w:type="dxa"/>
            <w:noWrap/>
            <w:vAlign w:val="center"/>
          </w:tcPr>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2192"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品牌及规格型号</w:t>
            </w:r>
          </w:p>
        </w:tc>
        <w:tc>
          <w:tcPr>
            <w:tcW w:w="875"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959"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单价（元）</w:t>
            </w:r>
          </w:p>
        </w:tc>
        <w:tc>
          <w:tcPr>
            <w:tcW w:w="1800" w:type="dxa"/>
            <w:noWrap/>
            <w:vAlign w:val="center"/>
          </w:tcPr>
          <w:p>
            <w:pPr>
              <w:spacing w:line="44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61" w:type="dxa"/>
            <w:noWrap/>
            <w:vAlign w:val="center"/>
          </w:tcPr>
          <w:p>
            <w:pPr>
              <w:spacing w:line="440" w:lineRule="exact"/>
              <w:jc w:val="center"/>
              <w:rPr>
                <w:rFonts w:ascii="仿宋_GB2312" w:hAnsi="仿宋_GB2312" w:eastAsia="仿宋_GB2312" w:cs="仿宋_GB2312"/>
                <w:sz w:val="24"/>
                <w:szCs w:val="28"/>
              </w:rPr>
            </w:pPr>
          </w:p>
        </w:tc>
        <w:tc>
          <w:tcPr>
            <w:tcW w:w="2192" w:type="dxa"/>
            <w:noWrap/>
            <w:vAlign w:val="center"/>
          </w:tcPr>
          <w:p>
            <w:pPr>
              <w:spacing w:line="440" w:lineRule="exact"/>
              <w:jc w:val="center"/>
              <w:rPr>
                <w:rFonts w:ascii="仿宋_GB2312" w:hAnsi="仿宋_GB2312" w:eastAsia="仿宋_GB2312" w:cs="仿宋_GB2312"/>
                <w:sz w:val="24"/>
                <w:szCs w:val="28"/>
              </w:rPr>
            </w:pPr>
          </w:p>
        </w:tc>
        <w:tc>
          <w:tcPr>
            <w:tcW w:w="875" w:type="dxa"/>
            <w:noWrap/>
            <w:vAlign w:val="center"/>
          </w:tcPr>
          <w:p>
            <w:pPr>
              <w:spacing w:line="440" w:lineRule="exact"/>
              <w:jc w:val="center"/>
              <w:rPr>
                <w:rFonts w:ascii="仿宋_GB2312" w:hAnsi="仿宋_GB2312" w:eastAsia="仿宋_GB2312" w:cs="仿宋_GB2312"/>
                <w:sz w:val="24"/>
                <w:szCs w:val="28"/>
              </w:rPr>
            </w:pPr>
          </w:p>
        </w:tc>
        <w:tc>
          <w:tcPr>
            <w:tcW w:w="1959" w:type="dxa"/>
            <w:noWrap/>
            <w:vAlign w:val="center"/>
          </w:tcPr>
          <w:p>
            <w:pPr>
              <w:spacing w:line="440" w:lineRule="exact"/>
              <w:jc w:val="center"/>
              <w:rPr>
                <w:rFonts w:ascii="仿宋_GB2312" w:hAnsi="仿宋_GB2312" w:eastAsia="仿宋_GB2312" w:cs="仿宋_GB2312"/>
                <w:sz w:val="24"/>
                <w:szCs w:val="28"/>
              </w:rPr>
            </w:pPr>
          </w:p>
        </w:tc>
        <w:tc>
          <w:tcPr>
            <w:tcW w:w="1800" w:type="dxa"/>
            <w:noWrap/>
            <w:vAlign w:val="center"/>
          </w:tcPr>
          <w:p>
            <w:pPr>
              <w:spacing w:line="440" w:lineRule="exact"/>
              <w:jc w:val="center"/>
              <w:rPr>
                <w:rFonts w:ascii="仿宋_GB2312" w:hAnsi="仿宋_GB2312" w:eastAsia="仿宋_GB2312" w:cs="仿宋_GB2312"/>
                <w:sz w:val="24"/>
                <w:szCs w:val="28"/>
              </w:rPr>
            </w:pPr>
          </w:p>
        </w:tc>
      </w:tr>
    </w:tbl>
    <w:p>
      <w:pPr>
        <w:widowControl/>
        <w:spacing w:line="440" w:lineRule="exact"/>
        <w:ind w:left="1120" w:hanging="1120" w:hangingChars="4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4、合同总金额为人民币</w:t>
      </w:r>
      <w:r>
        <w:rPr>
          <w:rFonts w:hint="eastAsia" w:ascii="仿宋_GB2312" w:hAnsi="仿宋_GB2312" w:eastAsia="仿宋_GB2312" w:cs="仿宋_GB2312"/>
          <w:b/>
          <w:bCs/>
          <w:sz w:val="28"/>
          <w:szCs w:val="28"/>
          <w:u w:val="single"/>
        </w:rPr>
        <w:t>*****元整</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u w:val="single"/>
        </w:rPr>
        <w:t>******</w:t>
      </w:r>
      <w:r>
        <w:rPr>
          <w:rFonts w:hint="eastAsia" w:ascii="仿宋_GB2312" w:hAnsi="仿宋_GB2312" w:eastAsia="仿宋_GB2312" w:cs="仿宋_GB2312"/>
          <w:b/>
          <w:bCs/>
          <w:sz w:val="28"/>
          <w:szCs w:val="28"/>
        </w:rPr>
        <w:t>元）。</w:t>
      </w:r>
    </w:p>
    <w:p>
      <w:pPr>
        <w:widowControl/>
        <w:spacing w:line="440" w:lineRule="exact"/>
        <w:jc w:val="left"/>
        <w:rPr>
          <w:rFonts w:hint="eastAsia" w:ascii="仿宋" w:hAnsi="仿宋" w:eastAsia="仿宋" w:cs="仿宋"/>
          <w:color w:val="auto"/>
          <w:sz w:val="28"/>
          <w:szCs w:val="28"/>
          <w:lang w:val="en-US" w:eastAsia="zh-CN"/>
        </w:rPr>
      </w:pPr>
      <w:r>
        <w:rPr>
          <w:rFonts w:hint="eastAsia" w:ascii="仿宋_GB2312" w:hAnsi="仿宋_GB2312" w:eastAsia="仿宋_GB2312" w:cs="仿宋_GB2312"/>
          <w:sz w:val="28"/>
          <w:szCs w:val="28"/>
        </w:rPr>
        <w:t>5、付款</w:t>
      </w:r>
      <w:r>
        <w:rPr>
          <w:rFonts w:hint="eastAsia" w:ascii="仿宋" w:hAnsi="仿宋" w:eastAsia="仿宋" w:cs="仿宋"/>
          <w:sz w:val="28"/>
          <w:szCs w:val="28"/>
        </w:rPr>
        <w:t>方式：</w:t>
      </w:r>
      <w:r>
        <w:rPr>
          <w:rFonts w:hint="eastAsia" w:ascii="仿宋" w:hAnsi="仿宋" w:eastAsia="仿宋" w:cs="仿宋"/>
          <w:color w:val="auto"/>
          <w:sz w:val="28"/>
          <w:szCs w:val="28"/>
          <w:lang w:val="en-US" w:eastAsia="zh-CN"/>
        </w:rPr>
        <w:t>每批次供货验收合格一个月后付该批次货款的100%。</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6、交货时间、交货地点：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6.1乙方应在签订合同之日起</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天内交货且包括安装调试。</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6.2交货地点：赣州市人民医院指定地点。</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6.3在履行合同过程中，如果乙方遇到不能按时交货和提供服务的情况，应及时以书面形式将不能按时交货的理由、延误时间通知甲方。甲方在收到乙方通知后，应进行分析，如果同意，可通过修改合同，酌情延长交货时间。</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6.4如果乙方毫无理由地拖延交货，将受到以下制裁：没收履约保证金，加收违约损失赔偿和/或终止合同。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7、合同生效后，乙方应将每台设备和仪器的中文技术资料一套，如目录索引、图纸、技术说明书、操作手册、使用指南、合格证等技术资料在验收时一并交给甲方。</w:t>
      </w:r>
    </w:p>
    <w:p>
      <w:pPr>
        <w:pStyle w:val="16"/>
        <w:spacing w:before="0" w:beforeAutospacing="0" w:after="0" w:afterAutospacing="0" w:line="460" w:lineRule="exact"/>
        <w:ind w:firstLine="560" w:firstLineChars="200"/>
        <w:jc w:val="both"/>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8、售后服务：从验收合格之日起，乙方提供</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年免费保修期，保修期内对达不到质量要求者，免费更换或退货处理，保修期满后终身维修，接到维修请示后能立即响应，</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小时内到达现场。</w:t>
      </w:r>
    </w:p>
    <w:p>
      <w:pPr>
        <w:widowControl/>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违约责任：如果乙方没有按照合同规定的时间交货和提供服务，甲方可从货款中扣除违约赔偿费，赔偿费应按每迟交一周，按合同总价的1%计收。但违约赔偿费的最高限额为合同总价的10%。一周按7天计算，不足7天按一周计算。如果乙方在达到最高限额后仍不能交货，甲方可考虑终止合同。</w:t>
      </w:r>
    </w:p>
    <w:p>
      <w:pPr>
        <w:widowControl/>
        <w:spacing w:line="440" w:lineRule="exact"/>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10、考核条款：</w:t>
      </w:r>
    </w:p>
    <w:p>
      <w:pPr>
        <w:widowControl/>
        <w:spacing w:line="44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、其</w:t>
      </w:r>
      <w:r>
        <w:rPr>
          <w:rFonts w:hint="eastAsia" w:ascii="仿宋_GB2312" w:hAnsi="仿宋_GB2312" w:eastAsia="仿宋_GB2312" w:cs="仿宋_GB2312"/>
          <w:color w:val="auto"/>
          <w:sz w:val="28"/>
          <w:szCs w:val="28"/>
        </w:rPr>
        <w:t>他约定：</w:t>
      </w:r>
    </w:p>
    <w:p>
      <w:pPr>
        <w:pStyle w:val="16"/>
        <w:spacing w:before="0" w:beforeAutospacing="0" w:after="0" w:afterAutospacing="0" w:line="460" w:lineRule="exact"/>
        <w:jc w:val="both"/>
        <w:rPr>
          <w:color w:val="auto"/>
          <w:kern w:val="2"/>
          <w:sz w:val="30"/>
          <w:szCs w:val="30"/>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.1乙方按合同金额的10%标准（即**元）向甲方缴纳本项目的履约保证金，产品供齐货，安装调试完毕，且验收合格后</w:t>
      </w:r>
      <w:r>
        <w:rPr>
          <w:rFonts w:hint="eastAsia" w:ascii="仿宋_GB2312" w:hAnsi="仿宋_GB2312" w:eastAsia="仿宋_GB2312" w:cs="仿宋_GB2312"/>
          <w:color w:val="auto"/>
          <w:sz w:val="28"/>
          <w:szCs w:val="28"/>
          <w:lang w:eastAsia="zh-CN"/>
        </w:rPr>
        <w:t>转为质保金，</w:t>
      </w:r>
      <w:r>
        <w:rPr>
          <w:rFonts w:hint="eastAsia" w:ascii="仿宋_GB2312" w:hAnsi="仿宋_GB2312" w:eastAsia="仿宋_GB2312" w:cs="仿宋_GB2312"/>
          <w:color w:val="auto"/>
          <w:sz w:val="28"/>
          <w:szCs w:val="28"/>
        </w:rPr>
        <w:t>质保期结束时无质量</w:t>
      </w:r>
      <w:r>
        <w:rPr>
          <w:rFonts w:hint="eastAsia" w:ascii="仿宋_GB2312" w:hAnsi="仿宋_GB2312" w:eastAsia="仿宋_GB2312" w:cs="仿宋_GB2312"/>
          <w:color w:val="auto"/>
          <w:sz w:val="28"/>
          <w:szCs w:val="28"/>
          <w:lang w:eastAsia="zh-CN"/>
        </w:rPr>
        <w:t>及服务</w:t>
      </w:r>
      <w:r>
        <w:rPr>
          <w:rFonts w:hint="eastAsia" w:ascii="仿宋_GB2312" w:hAnsi="仿宋_GB2312" w:eastAsia="仿宋_GB2312" w:cs="仿宋_GB2312"/>
          <w:color w:val="auto"/>
          <w:sz w:val="28"/>
          <w:szCs w:val="28"/>
        </w:rPr>
        <w:t>问题一次性不计息退还。</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.2甲方有权对乙方</w:t>
      </w:r>
      <w:r>
        <w:rPr>
          <w:rFonts w:hint="eastAsia" w:ascii="仿宋_GB2312" w:hAnsi="仿宋_GB2312" w:eastAsia="仿宋_GB2312" w:cs="仿宋_GB2312"/>
          <w:sz w:val="28"/>
          <w:szCs w:val="28"/>
        </w:rPr>
        <w:t>所供应产品进行检验，若检验结果不符合本谈判文件的要求，甲方将退回所有货物或索赔，且不予支付任何费用，所有责任由乙方承担。</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、合同生效：本合同在甲方收取乙方提交的履约保证金，且经甲、乙双方签字盖章后生效。</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、本合同一式叁份，以中文书写。甲方两份，乙方一份，具有同等法律效力。</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、本协议未尽事宜双方协商解决，协商不成可向甲方所在地人民法院诉讼。</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甲方（盖章）：赣州市人民医院      乙方（盖章）：  </w:t>
      </w:r>
    </w:p>
    <w:p>
      <w:pPr>
        <w:widowControl/>
        <w:spacing w:line="440" w:lineRule="exact"/>
        <w:jc w:val="left"/>
        <w:rPr>
          <w:rFonts w:ascii="仿宋_GB2312" w:hAnsi="仿宋_GB2312" w:eastAsia="仿宋_GB2312" w:cs="仿宋_GB2312"/>
          <w:sz w:val="28"/>
          <w:szCs w:val="28"/>
        </w:rPr>
      </w:pP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代表签字 ：                      代表签字 </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电话：0797- 电话：</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传真：0797-            传真：</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纳税人识别号：360701491750681    开户行：</w:t>
      </w:r>
    </w:p>
    <w:p>
      <w:pPr>
        <w:widowControl/>
        <w:spacing w:line="440" w:lineRule="exact"/>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账号：</w:t>
      </w:r>
    </w:p>
    <w:p>
      <w:pPr>
        <w:spacing w:line="440" w:lineRule="exact"/>
        <w:rPr>
          <w:rFonts w:hint="eastAsia"/>
          <w:b/>
          <w:sz w:val="32"/>
        </w:rPr>
      </w:pPr>
      <w:bookmarkStart w:id="21" w:name="_Toc533775678"/>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hint="eastAsia"/>
          <w:b/>
          <w:sz w:val="32"/>
        </w:rPr>
      </w:pPr>
    </w:p>
    <w:p>
      <w:pPr>
        <w:spacing w:line="440" w:lineRule="exact"/>
        <w:rPr>
          <w:rFonts w:asciiTheme="minorEastAsia" w:hAnsiTheme="minorEastAsia" w:eastAsiaTheme="minorEastAsia"/>
          <w:b/>
          <w:bCs/>
          <w:sz w:val="24"/>
          <w:szCs w:val="24"/>
        </w:rPr>
      </w:pPr>
      <w:r>
        <w:rPr>
          <w:rFonts w:hint="eastAsia"/>
          <w:b/>
          <w:sz w:val="32"/>
        </w:rPr>
        <w:t>附件  响应文件格式</w:t>
      </w:r>
      <w:bookmarkEnd w:id="19"/>
      <w:bookmarkEnd w:id="20"/>
      <w:bookmarkEnd w:id="21"/>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Pr>
        <w:pStyle w:val="2"/>
        <w:spacing w:line="440" w:lineRule="atLeast"/>
        <w:jc w:val="center"/>
        <w:rPr>
          <w:rFonts w:asciiTheme="minorEastAsia" w:hAnsiTheme="minorEastAsia" w:eastAsiaTheme="minorEastAsia"/>
          <w:b/>
          <w:sz w:val="24"/>
          <w:szCs w:val="24"/>
        </w:rPr>
      </w:pPr>
    </w:p>
    <w:p/>
    <w:p>
      <w:pPr>
        <w:pStyle w:val="2"/>
        <w:spacing w:line="440" w:lineRule="atLeast"/>
        <w:rPr>
          <w:rFonts w:hint="eastAsia" w:asciiTheme="minorEastAsia" w:hAnsiTheme="minorEastAsia" w:eastAsiaTheme="minorEastAsia"/>
          <w:b/>
          <w:sz w:val="24"/>
          <w:szCs w:val="24"/>
        </w:rPr>
      </w:pPr>
    </w:p>
    <w:p>
      <w:pPr>
        <w:rPr>
          <w:rFonts w:hint="eastAsia"/>
        </w:rPr>
      </w:pPr>
    </w:p>
    <w:p>
      <w:pPr>
        <w:rPr>
          <w:rFonts w:hint="eastAsia"/>
        </w:rPr>
      </w:pPr>
    </w:p>
    <w:p>
      <w:pPr>
        <w:rPr>
          <w:rFonts w:hint="eastAsia"/>
        </w:rPr>
      </w:pPr>
    </w:p>
    <w:p/>
    <w:p>
      <w:pPr>
        <w:spacing w:line="440" w:lineRule="atLeast"/>
        <w:jc w:val="center"/>
        <w:rPr>
          <w:rFonts w:asciiTheme="minorEastAsia" w:hAnsiTheme="minorEastAsia" w:eastAsiaTheme="minorEastAsia"/>
          <w:b/>
          <w:sz w:val="72"/>
          <w:szCs w:val="72"/>
        </w:rPr>
      </w:pPr>
      <w:r>
        <w:rPr>
          <w:rFonts w:hint="eastAsia" w:asciiTheme="minorEastAsia" w:hAnsiTheme="minorEastAsia" w:eastAsiaTheme="minorEastAsia"/>
          <w:b/>
          <w:sz w:val="72"/>
          <w:szCs w:val="72"/>
        </w:rPr>
        <w:t>谈判响应文件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项目名称：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               项目编号： </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ind w:firstLine="1820" w:firstLineChars="650"/>
        <w:rPr>
          <w:rFonts w:asciiTheme="minorEastAsia" w:hAnsiTheme="minorEastAsia" w:eastAsiaTheme="minorEastAsia"/>
          <w:sz w:val="24"/>
          <w:szCs w:val="24"/>
          <w:u w:val="single"/>
        </w:rPr>
      </w:pPr>
      <w:r>
        <w:rPr>
          <w:rFonts w:hint="eastAsia" w:ascii="宋体" w:hAnsi="宋体"/>
          <w:sz w:val="28"/>
        </w:rPr>
        <w:t>品目号（如有请提供）：</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u w:val="single"/>
        </w:rPr>
      </w:pP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单位（签章）</w:t>
      </w:r>
    </w:p>
    <w:p>
      <w:pPr>
        <w:spacing w:line="440" w:lineRule="atLeast"/>
        <w:jc w:val="center"/>
        <w:rPr>
          <w:rFonts w:asciiTheme="minorEastAsia" w:hAnsiTheme="minorEastAsia" w:eastAsiaTheme="minorEastAsia"/>
          <w:sz w:val="24"/>
          <w:szCs w:val="24"/>
        </w:rPr>
      </w:pPr>
    </w:p>
    <w:p>
      <w:pPr>
        <w:spacing w:line="440" w:lineRule="atLeast"/>
        <w:jc w:val="center"/>
        <w:rPr>
          <w:rFonts w:asciiTheme="minorEastAsia" w:hAnsiTheme="minorEastAsia" w:eastAsiaTheme="minorEastAsia"/>
          <w:w w:val="80"/>
          <w:sz w:val="24"/>
          <w:szCs w:val="24"/>
        </w:rPr>
        <w:sectPr>
          <w:footerReference r:id="rId7" w:type="first"/>
          <w:pgSz w:w="11907" w:h="16840"/>
          <w:pgMar w:top="1474" w:right="850" w:bottom="1474" w:left="1134" w:header="720" w:footer="720" w:gutter="0"/>
          <w:pgNumType w:start="1"/>
          <w:cols w:space="720" w:num="1"/>
          <w:titlePg/>
          <w:docGrid w:linePitch="285" w:charSpace="0"/>
        </w:sectPr>
      </w:pPr>
      <w:r>
        <w:rPr>
          <w:rFonts w:hint="eastAsia" w:asciiTheme="minorEastAsia" w:hAnsiTheme="minorEastAsia" w:eastAsiaTheme="minorEastAsia"/>
          <w:sz w:val="24"/>
          <w:szCs w:val="24"/>
        </w:rPr>
        <w:t xml:space="preserve">    年   月   日</w:t>
      </w:r>
    </w:p>
    <w:p>
      <w:pPr>
        <w:pStyle w:val="2"/>
        <w:spacing w:before="240" w:after="240"/>
        <w:jc w:val="center"/>
        <w:rPr>
          <w:b/>
          <w:sz w:val="32"/>
        </w:rPr>
      </w:pPr>
      <w:bookmarkStart w:id="22" w:name="_Toc533775679"/>
      <w:r>
        <w:rPr>
          <w:rFonts w:hint="eastAsia"/>
          <w:b/>
          <w:sz w:val="32"/>
        </w:rPr>
        <w:t>1. 谈判响应书</w:t>
      </w:r>
      <w:bookmarkEnd w:id="22"/>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致：赣州市人民医院</w:t>
      </w:r>
    </w:p>
    <w:p>
      <w:pPr>
        <w:spacing w:line="440" w:lineRule="atLeast"/>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根据贵方为</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项目名称</w:t>
      </w:r>
      <w:r>
        <w:rPr>
          <w:rFonts w:asciiTheme="minorEastAsia" w:hAnsiTheme="minorEastAsia" w:eastAsiaTheme="minorEastAsia"/>
          <w:i/>
          <w:sz w:val="24"/>
          <w:szCs w:val="24"/>
        </w:rPr>
        <w:t>)</w:t>
      </w:r>
      <w:r>
        <w:rPr>
          <w:rFonts w:hint="eastAsia" w:asciiTheme="minorEastAsia" w:hAnsiTheme="minorEastAsia" w:eastAsiaTheme="minorEastAsia"/>
          <w:sz w:val="24"/>
          <w:szCs w:val="24"/>
        </w:rPr>
        <w:t>项目谈判采购货物及有关服务的谈判邀请</w:t>
      </w:r>
      <w:r>
        <w:rPr>
          <w:rFonts w:hint="eastAsia" w:asciiTheme="minorEastAsia" w:hAnsiTheme="minorEastAsia" w:eastAsiaTheme="minorEastAsia"/>
          <w:i/>
          <w:sz w:val="24"/>
          <w:szCs w:val="24"/>
          <w:u w:val="single"/>
        </w:rPr>
        <w:t>(项目编号</w:t>
      </w:r>
      <w:r>
        <w:rPr>
          <w:rFonts w:asciiTheme="minorEastAsia" w:hAnsiTheme="minorEastAsia" w:eastAsiaTheme="minorEastAsia"/>
          <w:i/>
          <w:sz w:val="24"/>
          <w:szCs w:val="24"/>
          <w:u w:val="single"/>
        </w:rPr>
        <w:t>)</w:t>
      </w:r>
      <w:r>
        <w:rPr>
          <w:rFonts w:hint="eastAsia" w:asciiTheme="minorEastAsia" w:hAnsiTheme="minorEastAsia" w:eastAsiaTheme="minorEastAsia"/>
          <w:sz w:val="24"/>
          <w:szCs w:val="24"/>
        </w:rPr>
        <w:t>，签字代表</w:t>
      </w:r>
      <w:r>
        <w:rPr>
          <w:rFonts w:asciiTheme="minorEastAsia" w:hAnsiTheme="minorEastAsia" w:eastAsiaTheme="minorEastAsia"/>
          <w:i/>
          <w:sz w:val="24"/>
          <w:szCs w:val="24"/>
        </w:rPr>
        <w:t>(</w:t>
      </w:r>
      <w:r>
        <w:rPr>
          <w:rFonts w:hint="eastAsia" w:asciiTheme="minorEastAsia" w:hAnsiTheme="minorEastAsia" w:eastAsiaTheme="minorEastAsia"/>
          <w:i/>
          <w:sz w:val="24"/>
          <w:szCs w:val="24"/>
          <w:u w:val="single"/>
        </w:rPr>
        <w:t>姓名、职务</w:t>
      </w:r>
      <w:r>
        <w:rPr>
          <w:rFonts w:asciiTheme="minorEastAsia" w:hAnsiTheme="minorEastAsia" w:eastAsiaTheme="minorEastAsia"/>
          <w:i/>
          <w:sz w:val="24"/>
          <w:szCs w:val="24"/>
        </w:rPr>
        <w:t>)</w:t>
      </w:r>
      <w:r>
        <w:rPr>
          <w:rFonts w:hint="eastAsia" w:asciiTheme="minorEastAsia" w:hAnsiTheme="minorEastAsia" w:eastAsiaTheme="minorEastAsia"/>
          <w:sz w:val="24"/>
          <w:szCs w:val="24"/>
        </w:rPr>
        <w:t>经正式授权并代表我方</w:t>
      </w:r>
      <w:r>
        <w:rPr>
          <w:rFonts w:asciiTheme="minorEastAsia" w:hAnsiTheme="minorEastAsia" w:eastAsiaTheme="minorEastAsia"/>
          <w:i/>
          <w:sz w:val="24"/>
          <w:szCs w:val="24"/>
          <w:u w:val="single"/>
        </w:rPr>
        <w:t>(</w:t>
      </w:r>
      <w:r>
        <w:rPr>
          <w:rFonts w:hint="eastAsia" w:asciiTheme="minorEastAsia" w:hAnsiTheme="minorEastAsia" w:eastAsiaTheme="minorEastAsia"/>
          <w:i/>
          <w:sz w:val="24"/>
          <w:szCs w:val="24"/>
          <w:u w:val="single"/>
        </w:rPr>
        <w:t>单位名称、地址)</w:t>
      </w:r>
      <w:r>
        <w:rPr>
          <w:rFonts w:hint="eastAsia" w:asciiTheme="minorEastAsia" w:hAnsiTheme="minorEastAsia" w:eastAsiaTheme="minorEastAsia"/>
          <w:sz w:val="24"/>
          <w:szCs w:val="24"/>
        </w:rPr>
        <w:t>提交下述文件正本一份及副本一份</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分项报价表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技术响应表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按谈判文件供应商须知和技术规格要求提供的有关文件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6. </w:t>
      </w:r>
      <w:r>
        <w:rPr>
          <w:rFonts w:hint="eastAsia" w:asciiTheme="minorEastAsia" w:hAnsiTheme="minorEastAsia" w:eastAsiaTheme="minorEastAsia"/>
          <w:sz w:val="24"/>
          <w:szCs w:val="24"/>
        </w:rPr>
        <w:t>资格、资信证明文件</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 xml:space="preserve">7. </w:t>
      </w:r>
      <w:r>
        <w:rPr>
          <w:rFonts w:hint="eastAsia" w:asciiTheme="minorEastAsia" w:hAnsiTheme="minorEastAsia" w:eastAsiaTheme="minorEastAsia"/>
          <w:sz w:val="24"/>
          <w:szCs w:val="24"/>
        </w:rPr>
        <w:t>提交的谈判保证金，金额为</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据此函</w:t>
      </w:r>
      <w:r>
        <w:rPr>
          <w:rFonts w:asciiTheme="minorEastAsia" w:hAnsiTheme="minorEastAsia" w:eastAsiaTheme="minorEastAsia"/>
          <w:sz w:val="24"/>
          <w:szCs w:val="24"/>
        </w:rPr>
        <w:t>,</w:t>
      </w:r>
      <w:r>
        <w:rPr>
          <w:rFonts w:hint="eastAsia" w:asciiTheme="minorEastAsia" w:hAnsiTheme="minorEastAsia" w:eastAsiaTheme="minorEastAsia"/>
          <w:sz w:val="24"/>
          <w:szCs w:val="24"/>
        </w:rPr>
        <w:t>签字代表宣布同意如下</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 xml:space="preserve"> 所附报价表中规定的应提交和交付的货物总价为（用文字和数字表示的总价</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2.</w:t>
      </w:r>
      <w:r>
        <w:rPr>
          <w:rFonts w:hint="eastAsia" w:asciiTheme="minorEastAsia" w:hAnsiTheme="minorEastAsia" w:eastAsiaTheme="minorEastAsia"/>
          <w:sz w:val="24"/>
          <w:szCs w:val="24"/>
        </w:rPr>
        <w:t xml:space="preserve"> 我方将按谈判文件的规定履行合同责任和义务。</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 xml:space="preserve"> 我方已详细审查全部谈判文件，包括第</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编号、补遗函</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如果有的话</w:t>
      </w:r>
      <w:r>
        <w:rPr>
          <w:rFonts w:asciiTheme="minorEastAsia" w:hAnsiTheme="minorEastAsia" w:eastAsiaTheme="minorEastAsia"/>
          <w:sz w:val="24"/>
          <w:szCs w:val="24"/>
          <w:u w:val="single"/>
        </w:rPr>
        <w:t>)</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rPr>
        <w:t>我们完全理解并同意放弃对这方面有不明及误解的权力。</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本谈判有效期为自谈判之日起 </w:t>
      </w:r>
      <w:r>
        <w:rPr>
          <w:rFonts w:hint="eastAsia" w:asciiTheme="minorEastAsia" w:hAnsiTheme="minorEastAsia" w:eastAsiaTheme="minorEastAsia"/>
          <w:sz w:val="24"/>
          <w:szCs w:val="24"/>
          <w:u w:val="single"/>
        </w:rPr>
        <w:t xml:space="preserve">  90  </w:t>
      </w:r>
      <w:r>
        <w:rPr>
          <w:rFonts w:hint="eastAsia" w:asciiTheme="minorEastAsia" w:hAnsiTheme="minorEastAsia" w:eastAsiaTheme="minorEastAsia"/>
          <w:sz w:val="24"/>
          <w:szCs w:val="24"/>
        </w:rPr>
        <w:t>天。</w:t>
      </w:r>
    </w:p>
    <w:p>
      <w:pPr>
        <w:spacing w:line="440" w:lineRule="atLeast"/>
        <w:ind w:left="707" w:hanging="283"/>
        <w:rPr>
          <w:rFonts w:asciiTheme="minorEastAsia" w:hAnsiTheme="minorEastAsia" w:eastAsiaTheme="minorEastAsia"/>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如果在规定的谈判时间后，我方在谈判有效期内撤回响应文件，谈判保证金不予退还。</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6</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我方同意提供按照贵方可能要求的与其谈判有关的一切数据或资料。</w:t>
      </w:r>
    </w:p>
    <w:p>
      <w:pPr>
        <w:spacing w:line="440" w:lineRule="atLeast"/>
        <w:ind w:left="707" w:hanging="283"/>
        <w:rPr>
          <w:rFonts w:asciiTheme="minorEastAsia" w:hAnsiTheme="minorEastAsia" w:eastAsiaTheme="minorEastAsia"/>
          <w:sz w:val="24"/>
          <w:szCs w:val="24"/>
        </w:rPr>
      </w:pPr>
      <w:r>
        <w:rPr>
          <w:rFonts w:hint="eastAsia" w:asciiTheme="minorEastAsia" w:hAnsiTheme="minorEastAsia" w:eastAsiaTheme="minorEastAsia"/>
          <w:sz w:val="24"/>
          <w:szCs w:val="24"/>
        </w:rPr>
        <w:t>7</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与本谈判有关的一切正式往来信函请寄</w:t>
      </w:r>
      <w:r>
        <w:rPr>
          <w:rFonts w:asciiTheme="minorEastAsia" w:hAnsiTheme="minorEastAsia" w:eastAsiaTheme="minorEastAsia"/>
          <w:sz w:val="24"/>
          <w:szCs w:val="24"/>
        </w:rPr>
        <w:t>：</w:t>
      </w:r>
    </w:p>
    <w:p>
      <w:pPr>
        <w:spacing w:line="440" w:lineRule="atLeast"/>
        <w:ind w:left="707" w:hanging="283"/>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地址    传真</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电话    电子邮件</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rPr>
        <w:sectPr>
          <w:footerReference r:id="rId8" w:type="default"/>
          <w:pgSz w:w="11907" w:h="16840"/>
          <w:pgMar w:top="1474" w:right="1134" w:bottom="1474" w:left="1134" w:header="720" w:footer="720" w:gutter="0"/>
          <w:cols w:space="720" w:num="1"/>
          <w:docGrid w:linePitch="285" w:charSpace="0"/>
        </w:sectPr>
      </w:pPr>
    </w:p>
    <w:p>
      <w:pPr>
        <w:pStyle w:val="2"/>
        <w:spacing w:before="240" w:after="240"/>
        <w:jc w:val="center"/>
        <w:rPr>
          <w:b/>
          <w:sz w:val="32"/>
        </w:rPr>
      </w:pPr>
      <w:bookmarkStart w:id="23" w:name="_Toc533775680"/>
      <w:r>
        <w:rPr>
          <w:rFonts w:hint="eastAsia"/>
          <w:b/>
          <w:sz w:val="32"/>
        </w:rPr>
        <w:t>2．报价表</w:t>
      </w:r>
      <w:bookmarkEnd w:id="23"/>
    </w:p>
    <w:p>
      <w:pPr>
        <w:spacing w:line="440" w:lineRule="atLeast"/>
        <w:jc w:val="center"/>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项目编号： </w:t>
      </w:r>
    </w:p>
    <w:tbl>
      <w:tblPr>
        <w:tblStyle w:val="18"/>
        <w:tblW w:w="13936"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693"/>
        <w:gridCol w:w="842"/>
        <w:gridCol w:w="955"/>
        <w:gridCol w:w="1436"/>
        <w:gridCol w:w="1862"/>
        <w:gridCol w:w="1370"/>
        <w:gridCol w:w="1078"/>
        <w:gridCol w:w="912"/>
        <w:gridCol w:w="1064"/>
        <w:gridCol w:w="8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69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84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w:t>
            </w:r>
          </w:p>
        </w:tc>
        <w:tc>
          <w:tcPr>
            <w:tcW w:w="95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43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186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总报价</w:t>
            </w:r>
          </w:p>
        </w:tc>
        <w:tc>
          <w:tcPr>
            <w:tcW w:w="1370" w:type="dxa"/>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报价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声明</w:t>
            </w:r>
          </w:p>
        </w:tc>
        <w:tc>
          <w:tcPr>
            <w:tcW w:w="107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谈判保证金</w:t>
            </w:r>
          </w:p>
        </w:tc>
        <w:tc>
          <w:tcPr>
            <w:tcW w:w="91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交货期</w:t>
            </w:r>
          </w:p>
        </w:tc>
        <w:tc>
          <w:tcPr>
            <w:tcW w:w="106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交货地点</w:t>
            </w:r>
          </w:p>
        </w:tc>
        <w:tc>
          <w:tcPr>
            <w:tcW w:w="89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826" w:type="dxa"/>
            <w:vAlign w:val="center"/>
          </w:tcPr>
          <w:p>
            <w:pPr>
              <w:spacing w:line="440" w:lineRule="atLeast"/>
              <w:jc w:val="center"/>
              <w:rPr>
                <w:rFonts w:asciiTheme="minorEastAsia" w:hAnsiTheme="minorEastAsia" w:eastAsiaTheme="minorEastAsia"/>
                <w:sz w:val="24"/>
                <w:szCs w:val="24"/>
              </w:rPr>
            </w:pPr>
          </w:p>
        </w:tc>
        <w:tc>
          <w:tcPr>
            <w:tcW w:w="2693" w:type="dxa"/>
            <w:vAlign w:val="center"/>
          </w:tcPr>
          <w:p>
            <w:pPr>
              <w:spacing w:line="440" w:lineRule="atLeast"/>
              <w:jc w:val="center"/>
              <w:rPr>
                <w:rFonts w:asciiTheme="minorEastAsia" w:hAnsiTheme="minorEastAsia" w:eastAsiaTheme="minorEastAsia"/>
                <w:sz w:val="24"/>
                <w:szCs w:val="24"/>
              </w:rPr>
            </w:pPr>
          </w:p>
        </w:tc>
        <w:tc>
          <w:tcPr>
            <w:tcW w:w="842" w:type="dxa"/>
            <w:vAlign w:val="center"/>
          </w:tcPr>
          <w:p>
            <w:pPr>
              <w:spacing w:line="440" w:lineRule="atLeast"/>
              <w:jc w:val="center"/>
              <w:rPr>
                <w:rFonts w:asciiTheme="minorEastAsia" w:hAnsiTheme="minorEastAsia" w:eastAsiaTheme="minorEastAsia"/>
                <w:sz w:val="24"/>
                <w:szCs w:val="24"/>
              </w:rPr>
            </w:pPr>
          </w:p>
        </w:tc>
        <w:tc>
          <w:tcPr>
            <w:tcW w:w="955" w:type="dxa"/>
            <w:vAlign w:val="center"/>
          </w:tcPr>
          <w:p>
            <w:pPr>
              <w:spacing w:line="440" w:lineRule="atLeast"/>
              <w:jc w:val="center"/>
              <w:rPr>
                <w:rFonts w:asciiTheme="minorEastAsia" w:hAnsiTheme="minorEastAsia" w:eastAsiaTheme="minorEastAsia"/>
                <w:sz w:val="24"/>
                <w:szCs w:val="24"/>
              </w:rPr>
            </w:pPr>
          </w:p>
        </w:tc>
        <w:tc>
          <w:tcPr>
            <w:tcW w:w="1436" w:type="dxa"/>
            <w:vAlign w:val="center"/>
          </w:tcPr>
          <w:p>
            <w:pPr>
              <w:spacing w:line="440" w:lineRule="atLeast"/>
              <w:jc w:val="center"/>
              <w:rPr>
                <w:rFonts w:asciiTheme="minorEastAsia" w:hAnsiTheme="minorEastAsia" w:eastAsiaTheme="minorEastAsia"/>
                <w:sz w:val="24"/>
                <w:szCs w:val="24"/>
              </w:rPr>
            </w:pPr>
          </w:p>
        </w:tc>
        <w:tc>
          <w:tcPr>
            <w:tcW w:w="1862" w:type="dxa"/>
            <w:vAlign w:val="center"/>
          </w:tcPr>
          <w:p>
            <w:pPr>
              <w:spacing w:line="440" w:lineRule="atLeast"/>
              <w:jc w:val="center"/>
              <w:rPr>
                <w:rFonts w:asciiTheme="minorEastAsia" w:hAnsiTheme="minorEastAsia" w:eastAsiaTheme="minorEastAsia"/>
                <w:sz w:val="24"/>
                <w:szCs w:val="24"/>
              </w:rPr>
            </w:pPr>
          </w:p>
        </w:tc>
        <w:tc>
          <w:tcPr>
            <w:tcW w:w="1370" w:type="dxa"/>
            <w:vAlign w:val="center"/>
          </w:tcPr>
          <w:p>
            <w:pPr>
              <w:spacing w:line="440" w:lineRule="atLeast"/>
              <w:jc w:val="center"/>
              <w:rPr>
                <w:rFonts w:asciiTheme="minorEastAsia" w:hAnsiTheme="minorEastAsia" w:eastAsiaTheme="minorEastAsia"/>
                <w:sz w:val="24"/>
                <w:szCs w:val="24"/>
              </w:rPr>
            </w:pPr>
          </w:p>
        </w:tc>
        <w:tc>
          <w:tcPr>
            <w:tcW w:w="1078" w:type="dxa"/>
            <w:vAlign w:val="center"/>
          </w:tcPr>
          <w:p>
            <w:pPr>
              <w:spacing w:line="440" w:lineRule="atLeast"/>
              <w:jc w:val="center"/>
              <w:rPr>
                <w:rFonts w:asciiTheme="minorEastAsia" w:hAnsiTheme="minorEastAsia" w:eastAsiaTheme="minorEastAsia"/>
                <w:sz w:val="24"/>
                <w:szCs w:val="24"/>
              </w:rPr>
            </w:pPr>
          </w:p>
        </w:tc>
        <w:tc>
          <w:tcPr>
            <w:tcW w:w="912" w:type="dxa"/>
            <w:vAlign w:val="center"/>
          </w:tcPr>
          <w:p>
            <w:pPr>
              <w:spacing w:line="440" w:lineRule="atLeast"/>
              <w:jc w:val="center"/>
              <w:rPr>
                <w:rFonts w:asciiTheme="minorEastAsia" w:hAnsiTheme="minorEastAsia" w:eastAsiaTheme="minorEastAsia"/>
                <w:sz w:val="24"/>
                <w:szCs w:val="24"/>
              </w:rPr>
            </w:pPr>
          </w:p>
        </w:tc>
        <w:tc>
          <w:tcPr>
            <w:tcW w:w="1064" w:type="dxa"/>
            <w:vAlign w:val="center"/>
          </w:tcPr>
          <w:p>
            <w:pPr>
              <w:spacing w:line="440" w:lineRule="atLeast"/>
              <w:jc w:val="center"/>
              <w:rPr>
                <w:rFonts w:asciiTheme="minorEastAsia" w:hAnsiTheme="minorEastAsia" w:eastAsiaTheme="minorEastAsia"/>
                <w:sz w:val="24"/>
                <w:szCs w:val="24"/>
              </w:rPr>
            </w:pPr>
          </w:p>
        </w:tc>
        <w:tc>
          <w:tcPr>
            <w:tcW w:w="898" w:type="dxa"/>
            <w:vAlign w:val="center"/>
          </w:tcPr>
          <w:p>
            <w:pPr>
              <w:spacing w:line="440" w:lineRule="atLeast"/>
              <w:jc w:val="center"/>
              <w:rPr>
                <w:rFonts w:asciiTheme="minorEastAsia" w:hAnsiTheme="minorEastAsia" w:eastAsia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13936" w:type="dxa"/>
            <w:gridSpan w:val="11"/>
            <w:vAlign w:val="center"/>
          </w:tcPr>
          <w:p>
            <w:pPr>
              <w:spacing w:beforeLines="150"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总价：（大写</w:t>
            </w:r>
            <w:r>
              <w:rPr>
                <w:rFonts w:asciiTheme="minorEastAsia" w:hAnsiTheme="minorEastAsia" w:eastAsiaTheme="minorEastAsia"/>
                <w:sz w:val="24"/>
                <w:szCs w:val="24"/>
              </w:rPr>
              <w:t>）</w:t>
            </w:r>
            <w:r>
              <w:rPr>
                <w:rFonts w:hint="eastAsia" w:asciiTheme="minorEastAsia" w:hAnsiTheme="minorEastAsia" w:eastAsiaTheme="minorEastAsia"/>
                <w:sz w:val="24"/>
                <w:szCs w:val="24"/>
              </w:rPr>
              <w:t xml:space="preserve">                                                                  ￥：（小写）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before="240" w:line="440" w:lineRule="atLeast"/>
        <w:jc w:val="center"/>
        <w:rPr>
          <w:rFonts w:asciiTheme="minorEastAsia" w:hAnsiTheme="minorEastAsia" w:eastAsiaTheme="minorEastAsia"/>
          <w:sz w:val="24"/>
          <w:szCs w:val="24"/>
        </w:rPr>
        <w:sectPr>
          <w:footerReference r:id="rId9" w:type="default"/>
          <w:footerReference r:id="rId10" w:type="even"/>
          <w:pgSz w:w="16840" w:h="11907" w:orient="landscape"/>
          <w:pgMar w:top="1134" w:right="1474" w:bottom="1814" w:left="1474" w:header="720" w:footer="720" w:gutter="0"/>
          <w:cols w:space="720" w:num="1"/>
          <w:docGrid w:linePitch="285" w:charSpace="0"/>
        </w:sectPr>
      </w:pPr>
    </w:p>
    <w:p>
      <w:pPr>
        <w:pStyle w:val="2"/>
        <w:spacing w:before="240" w:after="240"/>
        <w:jc w:val="center"/>
        <w:rPr>
          <w:b/>
          <w:sz w:val="32"/>
        </w:rPr>
      </w:pPr>
      <w:bookmarkStart w:id="24" w:name="_Toc533775681"/>
      <w:r>
        <w:rPr>
          <w:rFonts w:hint="eastAsia"/>
          <w:b/>
          <w:sz w:val="32"/>
        </w:rPr>
        <w:t>3．分项报价表</w:t>
      </w:r>
      <w:bookmarkEnd w:id="24"/>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供应商名称：                                项目编号：</w:t>
      </w:r>
    </w:p>
    <w:tbl>
      <w:tblPr>
        <w:tblStyle w:val="18"/>
        <w:tblW w:w="1416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2057"/>
        <w:gridCol w:w="1680"/>
        <w:gridCol w:w="1245"/>
        <w:gridCol w:w="1500"/>
        <w:gridCol w:w="1620"/>
        <w:gridCol w:w="165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683"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205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制造商、品牌</w:t>
            </w:r>
          </w:p>
        </w:tc>
        <w:tc>
          <w:tcPr>
            <w:tcW w:w="168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规格、型号</w:t>
            </w:r>
          </w:p>
        </w:tc>
        <w:tc>
          <w:tcPr>
            <w:tcW w:w="124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产地</w:t>
            </w:r>
          </w:p>
        </w:tc>
        <w:tc>
          <w:tcPr>
            <w:tcW w:w="150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w:t>
            </w:r>
          </w:p>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（元）</w:t>
            </w:r>
          </w:p>
        </w:tc>
        <w:tc>
          <w:tcPr>
            <w:tcW w:w="165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总价（元）</w:t>
            </w:r>
          </w:p>
        </w:tc>
        <w:tc>
          <w:tcPr>
            <w:tcW w:w="189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35" w:type="dxa"/>
            <w:vAlign w:val="center"/>
          </w:tcPr>
          <w:p>
            <w:pPr>
              <w:spacing w:line="440" w:lineRule="atLeast"/>
              <w:jc w:val="center"/>
              <w:rPr>
                <w:rFonts w:asciiTheme="minorEastAsia" w:hAnsiTheme="minorEastAsia" w:eastAsiaTheme="minorEastAsia"/>
                <w:sz w:val="24"/>
                <w:szCs w:val="24"/>
              </w:rPr>
            </w:pPr>
          </w:p>
        </w:tc>
        <w:tc>
          <w:tcPr>
            <w:tcW w:w="1683" w:type="dxa"/>
            <w:vAlign w:val="center"/>
          </w:tcPr>
          <w:p>
            <w:pPr>
              <w:spacing w:line="440" w:lineRule="atLeast"/>
              <w:rPr>
                <w:rFonts w:asciiTheme="minorEastAsia" w:hAnsiTheme="minorEastAsia" w:eastAsiaTheme="minorEastAsia"/>
                <w:sz w:val="24"/>
                <w:szCs w:val="24"/>
              </w:rPr>
            </w:pPr>
          </w:p>
        </w:tc>
        <w:tc>
          <w:tcPr>
            <w:tcW w:w="2057" w:type="dxa"/>
            <w:vAlign w:val="center"/>
          </w:tcPr>
          <w:p>
            <w:pPr>
              <w:spacing w:line="440" w:lineRule="atLeast"/>
              <w:rPr>
                <w:rFonts w:asciiTheme="minorEastAsia" w:hAnsiTheme="minorEastAsia" w:eastAsiaTheme="minorEastAsia"/>
                <w:sz w:val="24"/>
                <w:szCs w:val="24"/>
              </w:rPr>
            </w:pPr>
          </w:p>
        </w:tc>
        <w:tc>
          <w:tcPr>
            <w:tcW w:w="1680" w:type="dxa"/>
          </w:tcPr>
          <w:p>
            <w:pPr>
              <w:spacing w:line="440" w:lineRule="atLeast"/>
              <w:rPr>
                <w:rFonts w:asciiTheme="minorEastAsia" w:hAnsiTheme="minorEastAsia" w:eastAsiaTheme="minorEastAsia"/>
                <w:sz w:val="24"/>
                <w:szCs w:val="24"/>
              </w:rPr>
            </w:pPr>
          </w:p>
        </w:tc>
        <w:tc>
          <w:tcPr>
            <w:tcW w:w="1245" w:type="dxa"/>
          </w:tcPr>
          <w:p>
            <w:pPr>
              <w:spacing w:line="440" w:lineRule="atLeast"/>
              <w:rPr>
                <w:rFonts w:asciiTheme="minorEastAsia" w:hAnsiTheme="minorEastAsia" w:eastAsiaTheme="minorEastAsia"/>
                <w:sz w:val="24"/>
                <w:szCs w:val="24"/>
              </w:rPr>
            </w:pPr>
          </w:p>
        </w:tc>
        <w:tc>
          <w:tcPr>
            <w:tcW w:w="1500" w:type="dxa"/>
          </w:tcPr>
          <w:p>
            <w:pPr>
              <w:spacing w:line="440" w:lineRule="atLeast"/>
              <w:jc w:val="center"/>
              <w:rPr>
                <w:rFonts w:asciiTheme="minorEastAsia" w:hAnsiTheme="minorEastAsia" w:eastAsiaTheme="minorEastAsia"/>
                <w:sz w:val="24"/>
                <w:szCs w:val="24"/>
              </w:rPr>
            </w:pPr>
          </w:p>
        </w:tc>
        <w:tc>
          <w:tcPr>
            <w:tcW w:w="1620" w:type="dxa"/>
          </w:tcPr>
          <w:p>
            <w:pPr>
              <w:spacing w:line="440" w:lineRule="atLeast"/>
              <w:jc w:val="center"/>
              <w:rPr>
                <w:rFonts w:asciiTheme="minorEastAsia" w:hAnsiTheme="minorEastAsia" w:eastAsiaTheme="minorEastAsia"/>
                <w:sz w:val="24"/>
                <w:szCs w:val="24"/>
              </w:rPr>
            </w:pPr>
          </w:p>
        </w:tc>
        <w:tc>
          <w:tcPr>
            <w:tcW w:w="1650" w:type="dxa"/>
          </w:tcPr>
          <w:p>
            <w:pPr>
              <w:spacing w:line="440" w:lineRule="atLeast"/>
              <w:jc w:val="center"/>
              <w:rPr>
                <w:rFonts w:asciiTheme="minorEastAsia" w:hAnsiTheme="minorEastAsia" w:eastAsiaTheme="minorEastAsia"/>
                <w:sz w:val="24"/>
                <w:szCs w:val="24"/>
              </w:rPr>
            </w:pPr>
          </w:p>
        </w:tc>
        <w:tc>
          <w:tcPr>
            <w:tcW w:w="1890" w:type="dxa"/>
          </w:tcPr>
          <w:p>
            <w:pPr>
              <w:spacing w:line="440" w:lineRule="atLeast"/>
              <w:jc w:val="cente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60" w:type="dxa"/>
            <w:gridSpan w:val="9"/>
            <w:vAlign w:val="center"/>
          </w:tcPr>
          <w:p>
            <w:pPr>
              <w:spacing w:line="440" w:lineRule="atLeas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合计：（大写）</w:t>
            </w: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sectPr>
          <w:pgSz w:w="16840" w:h="11907" w:orient="landscape"/>
          <w:pgMar w:top="1134" w:right="1474" w:bottom="1814" w:left="1474" w:header="720" w:footer="720" w:gutter="0"/>
          <w:cols w:space="720" w:num="1"/>
          <w:docGrid w:linePitch="285" w:charSpace="0"/>
        </w:sect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5" w:name="_Toc533775682"/>
      <w:r>
        <w:rPr>
          <w:rFonts w:hint="eastAsia"/>
          <w:b/>
          <w:sz w:val="32"/>
        </w:rPr>
        <w:t>4</w:t>
      </w:r>
      <w:r>
        <w:rPr>
          <w:b/>
          <w:sz w:val="32"/>
        </w:rPr>
        <w:t>.</w:t>
      </w:r>
      <w:r>
        <w:rPr>
          <w:rFonts w:hint="eastAsia"/>
          <w:b/>
          <w:sz w:val="32"/>
        </w:rPr>
        <w:t xml:space="preserve"> 技术规格响应/偏离表</w:t>
      </w:r>
      <w:bookmarkEnd w:id="25"/>
    </w:p>
    <w:p>
      <w:pPr>
        <w:spacing w:before="240" w:line="440" w:lineRule="atLeast"/>
        <w:jc w:val="center"/>
        <w:rPr>
          <w:rFonts w:asciiTheme="minorEastAsia" w:hAnsiTheme="minorEastAsia" w:eastAsiaTheme="minorEastAsia"/>
          <w:b/>
          <w:sz w:val="28"/>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项目编号：</w:t>
      </w:r>
    </w:p>
    <w:tbl>
      <w:tblPr>
        <w:tblStyle w:val="18"/>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234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谈判文件技术规格</w:t>
            </w:r>
          </w:p>
        </w:tc>
        <w:tc>
          <w:tcPr>
            <w:tcW w:w="16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响应文件技术规格</w:t>
            </w:r>
          </w:p>
        </w:tc>
        <w:tc>
          <w:tcPr>
            <w:tcW w:w="92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222"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738" w:type="dxa"/>
          </w:tcPr>
          <w:p>
            <w:pPr>
              <w:spacing w:line="440" w:lineRule="atLeast"/>
              <w:rPr>
                <w:rFonts w:asciiTheme="minorEastAsia" w:hAnsiTheme="minorEastAsia" w:eastAsiaTheme="minorEastAsia"/>
                <w:sz w:val="24"/>
                <w:szCs w:val="24"/>
              </w:rPr>
            </w:pPr>
          </w:p>
        </w:tc>
        <w:tc>
          <w:tcPr>
            <w:tcW w:w="1704" w:type="dxa"/>
          </w:tcPr>
          <w:p>
            <w:pPr>
              <w:spacing w:line="440" w:lineRule="atLeast"/>
              <w:rPr>
                <w:rFonts w:asciiTheme="minorEastAsia" w:hAnsiTheme="minorEastAsia" w:eastAsiaTheme="minorEastAsia"/>
                <w:sz w:val="24"/>
                <w:szCs w:val="24"/>
              </w:rPr>
            </w:pPr>
          </w:p>
        </w:tc>
        <w:tc>
          <w:tcPr>
            <w:tcW w:w="2346" w:type="dxa"/>
          </w:tcPr>
          <w:p>
            <w:pPr>
              <w:spacing w:line="440" w:lineRule="atLeast"/>
              <w:rPr>
                <w:rFonts w:asciiTheme="minorEastAsia" w:hAnsiTheme="minorEastAsia" w:eastAsiaTheme="minorEastAsia"/>
                <w:sz w:val="24"/>
                <w:szCs w:val="24"/>
              </w:rPr>
            </w:pPr>
          </w:p>
        </w:tc>
        <w:tc>
          <w:tcPr>
            <w:tcW w:w="1620" w:type="dxa"/>
          </w:tcPr>
          <w:p>
            <w:pPr>
              <w:spacing w:line="440" w:lineRule="atLeast"/>
              <w:rPr>
                <w:rFonts w:asciiTheme="minorEastAsia" w:hAnsiTheme="minorEastAsia" w:eastAsiaTheme="minorEastAsia"/>
                <w:sz w:val="24"/>
                <w:szCs w:val="24"/>
              </w:rPr>
            </w:pPr>
          </w:p>
        </w:tc>
        <w:tc>
          <w:tcPr>
            <w:tcW w:w="920" w:type="dxa"/>
          </w:tcPr>
          <w:p>
            <w:pPr>
              <w:spacing w:line="440" w:lineRule="atLeast"/>
              <w:rPr>
                <w:rFonts w:asciiTheme="minorEastAsia" w:hAnsiTheme="minorEastAsia" w:eastAsiaTheme="minorEastAsia"/>
                <w:sz w:val="24"/>
                <w:szCs w:val="24"/>
              </w:rPr>
            </w:pPr>
          </w:p>
        </w:tc>
        <w:tc>
          <w:tcPr>
            <w:tcW w:w="1222"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2、响应/偏离内容为包括但不限于采购需求中的内容。</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6" w:name="_Toc533775683"/>
      <w:r>
        <w:rPr>
          <w:rFonts w:hint="eastAsia"/>
          <w:b/>
          <w:sz w:val="32"/>
        </w:rPr>
        <w:t>5</w:t>
      </w:r>
      <w:r>
        <w:rPr>
          <w:b/>
          <w:sz w:val="32"/>
        </w:rPr>
        <w:t>.</w:t>
      </w:r>
      <w:r>
        <w:rPr>
          <w:rFonts w:hint="eastAsia"/>
          <w:b/>
          <w:sz w:val="32"/>
        </w:rPr>
        <w:t xml:space="preserve"> 商务条款响应/偏离表</w:t>
      </w:r>
      <w:bookmarkEnd w:id="26"/>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项目编号：</w:t>
      </w:r>
    </w:p>
    <w:tbl>
      <w:tblPr>
        <w:tblStyle w:val="18"/>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谈判文件条目号</w:t>
            </w:r>
          </w:p>
        </w:tc>
        <w:tc>
          <w:tcPr>
            <w:tcW w:w="1470"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谈判文件的商务条款</w:t>
            </w:r>
          </w:p>
        </w:tc>
        <w:tc>
          <w:tcPr>
            <w:tcW w:w="1817"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响应文件的商务条款</w:t>
            </w:r>
          </w:p>
        </w:tc>
        <w:tc>
          <w:tcPr>
            <w:tcW w:w="1124"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响应/偏离</w:t>
            </w:r>
          </w:p>
        </w:tc>
        <w:tc>
          <w:tcPr>
            <w:tcW w:w="1471"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trPr>
        <w:tc>
          <w:tcPr>
            <w:tcW w:w="1470"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c>
          <w:tcPr>
            <w:tcW w:w="1470" w:type="dxa"/>
          </w:tcPr>
          <w:p>
            <w:pPr>
              <w:spacing w:line="440" w:lineRule="atLeast"/>
              <w:rPr>
                <w:rFonts w:asciiTheme="minorEastAsia" w:hAnsiTheme="minorEastAsia" w:eastAsiaTheme="minorEastAsia"/>
                <w:sz w:val="24"/>
                <w:szCs w:val="24"/>
              </w:rPr>
            </w:pPr>
          </w:p>
        </w:tc>
        <w:tc>
          <w:tcPr>
            <w:tcW w:w="1817" w:type="dxa"/>
          </w:tcPr>
          <w:p>
            <w:pPr>
              <w:spacing w:line="440" w:lineRule="atLeast"/>
              <w:rPr>
                <w:rFonts w:asciiTheme="minorEastAsia" w:hAnsiTheme="minorEastAsia" w:eastAsiaTheme="minorEastAsia"/>
                <w:sz w:val="24"/>
                <w:szCs w:val="24"/>
              </w:rPr>
            </w:pPr>
          </w:p>
        </w:tc>
        <w:tc>
          <w:tcPr>
            <w:tcW w:w="1124" w:type="dxa"/>
          </w:tcPr>
          <w:p>
            <w:pPr>
              <w:spacing w:line="440" w:lineRule="atLeast"/>
              <w:rPr>
                <w:rFonts w:asciiTheme="minorEastAsia" w:hAnsiTheme="minorEastAsia" w:eastAsiaTheme="minorEastAsia"/>
                <w:sz w:val="24"/>
                <w:szCs w:val="24"/>
              </w:rPr>
            </w:pPr>
          </w:p>
        </w:tc>
        <w:tc>
          <w:tcPr>
            <w:tcW w:w="1471" w:type="dxa"/>
          </w:tcPr>
          <w:p>
            <w:pPr>
              <w:spacing w:line="440" w:lineRule="atLeast"/>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注：1、响应/偏离内容应在说明栏中说明该条款在响应文件中（或页码）的依据；</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2、商务条款包括交货期、付款方式、质保期、验收及售后服务等内容；</w:t>
      </w:r>
    </w:p>
    <w:p>
      <w:pPr>
        <w:spacing w:afterLines="50"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3、供应商不按上述表格填写，所产生的一切后果由供应商承担。</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法定代表人或委托代理签字或签章：</w:t>
      </w:r>
    </w:p>
    <w:p>
      <w:pPr>
        <w:pStyle w:val="2"/>
        <w:spacing w:before="240" w:after="240"/>
        <w:jc w:val="center"/>
        <w:rPr>
          <w:b/>
          <w:sz w:val="32"/>
        </w:rPr>
      </w:pPr>
      <w:bookmarkStart w:id="27" w:name="_Toc533775684"/>
      <w:r>
        <w:rPr>
          <w:rFonts w:hint="eastAsia"/>
          <w:b/>
          <w:sz w:val="32"/>
        </w:rPr>
        <w:t>6</w:t>
      </w:r>
      <w:r>
        <w:rPr>
          <w:b/>
          <w:sz w:val="32"/>
        </w:rPr>
        <w:t>.</w:t>
      </w:r>
      <w:r>
        <w:rPr>
          <w:rFonts w:hint="eastAsia"/>
          <w:b/>
          <w:sz w:val="32"/>
        </w:rPr>
        <w:t xml:space="preserve"> 其他证明资料</w:t>
      </w:r>
      <w:bookmarkEnd w:id="27"/>
    </w:p>
    <w:p>
      <w:pPr>
        <w:pStyle w:val="3"/>
        <w:spacing w:before="0" w:after="0" w:line="440" w:lineRule="atLeast"/>
        <w:jc w:val="center"/>
        <w:rPr>
          <w:rFonts w:asciiTheme="minorEastAsia" w:hAnsiTheme="minorEastAsia" w:eastAsiaTheme="minorEastAsia"/>
          <w:sz w:val="24"/>
          <w:szCs w:val="24"/>
        </w:rPr>
      </w:pPr>
    </w:p>
    <w:p>
      <w:pPr>
        <w:widowControl/>
        <w:spacing w:before="240" w:line="440" w:lineRule="atLeast"/>
        <w:jc w:val="center"/>
        <w:rPr>
          <w:rFonts w:asciiTheme="minorEastAsia" w:hAnsiTheme="minorEastAsia" w:eastAsiaTheme="minorEastAsia"/>
          <w:b/>
          <w:sz w:val="24"/>
          <w:szCs w:val="24"/>
        </w:rPr>
      </w:pPr>
      <w:bookmarkStart w:id="28" w:name="_Toc475970091"/>
      <w:r>
        <w:rPr>
          <w:rFonts w:hint="eastAsia" w:asciiTheme="minorEastAsia" w:hAnsiTheme="minorEastAsia" w:eastAsiaTheme="minorEastAsia"/>
          <w:b/>
          <w:sz w:val="24"/>
          <w:szCs w:val="24"/>
        </w:rPr>
        <w:t>格式6-1. 供应商情况一览表</w:t>
      </w:r>
      <w:bookmarkEnd w:id="28"/>
    </w:p>
    <w:p>
      <w:pPr>
        <w:spacing w:line="440" w:lineRule="atLeast"/>
        <w:jc w:val="center"/>
        <w:rPr>
          <w:rFonts w:asciiTheme="minorEastAsia" w:hAnsiTheme="minorEastAsia" w:eastAsiaTheme="minorEastAsia"/>
          <w:sz w:val="24"/>
          <w:szCs w:val="24"/>
        </w:rPr>
      </w:pPr>
    </w:p>
    <w:tbl>
      <w:tblPr>
        <w:tblStyle w:val="18"/>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696"/>
        <w:gridCol w:w="502"/>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供应商名称</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注册地址</w:t>
            </w:r>
          </w:p>
        </w:tc>
        <w:tc>
          <w:tcPr>
            <w:tcW w:w="3929" w:type="dxa"/>
            <w:gridSpan w:val="4"/>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联系方式</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联系人</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Merge w:val="continue"/>
            <w:vAlign w:val="center"/>
          </w:tcPr>
          <w:p>
            <w:pPr>
              <w:spacing w:line="440" w:lineRule="atLeast"/>
              <w:jc w:val="center"/>
              <w:rPr>
                <w:rFonts w:asciiTheme="minorEastAsia" w:hAnsiTheme="minorEastAsia" w:eastAsiaTheme="minorEastAsia"/>
                <w:sz w:val="24"/>
                <w:szCs w:val="24"/>
              </w:rPr>
            </w:pP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传  真</w:t>
            </w:r>
          </w:p>
        </w:tc>
        <w:tc>
          <w:tcPr>
            <w:tcW w:w="2894" w:type="dxa"/>
            <w:gridSpan w:val="3"/>
            <w:vAlign w:val="center"/>
          </w:tcPr>
          <w:p>
            <w:pPr>
              <w:spacing w:line="440" w:lineRule="atLeast"/>
              <w:jc w:val="center"/>
              <w:rPr>
                <w:rFonts w:asciiTheme="minorEastAsia" w:hAnsiTheme="minorEastAsia" w:eastAsiaTheme="minorEastAsia"/>
                <w:sz w:val="24"/>
                <w:szCs w:val="24"/>
              </w:rPr>
            </w:pPr>
          </w:p>
        </w:tc>
        <w:tc>
          <w:tcPr>
            <w:tcW w:w="13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网址/邮箱</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企业性质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技术负责人</w:t>
            </w:r>
          </w:p>
        </w:tc>
        <w:tc>
          <w:tcPr>
            <w:tcW w:w="10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姓名</w:t>
            </w:r>
          </w:p>
        </w:tc>
        <w:tc>
          <w:tcPr>
            <w:tcW w:w="1696" w:type="dxa"/>
            <w:vAlign w:val="center"/>
          </w:tcPr>
          <w:p>
            <w:pPr>
              <w:spacing w:line="440" w:lineRule="atLeast"/>
              <w:jc w:val="center"/>
              <w:rPr>
                <w:rFonts w:asciiTheme="minorEastAsia" w:hAnsiTheme="minorEastAsia" w:eastAsiaTheme="minorEastAsia"/>
                <w:sz w:val="24"/>
                <w:szCs w:val="24"/>
              </w:rPr>
            </w:pPr>
          </w:p>
        </w:tc>
        <w:tc>
          <w:tcPr>
            <w:tcW w:w="119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技术职称</w:t>
            </w:r>
          </w:p>
        </w:tc>
        <w:tc>
          <w:tcPr>
            <w:tcW w:w="1356" w:type="dxa"/>
            <w:vAlign w:val="center"/>
          </w:tcPr>
          <w:p>
            <w:pPr>
              <w:spacing w:line="440" w:lineRule="atLeast"/>
              <w:jc w:val="center"/>
              <w:rPr>
                <w:rFonts w:asciiTheme="minorEastAsia" w:hAnsiTheme="minorEastAsia" w:eastAsiaTheme="minorEastAsia"/>
                <w:sz w:val="24"/>
                <w:szCs w:val="24"/>
              </w:rPr>
            </w:pPr>
          </w:p>
        </w:tc>
        <w:tc>
          <w:tcPr>
            <w:tcW w:w="87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tc>
        <w:tc>
          <w:tcPr>
            <w:tcW w:w="1324"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成立时间</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4754" w:type="dxa"/>
            <w:gridSpan w:val="5"/>
            <w:vAlign w:val="center"/>
          </w:tcPr>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营业执照号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restart"/>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其中</w:t>
            </w: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高级职称人员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注册资金</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中级职称人员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开户银行</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初级职称人员</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00"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p>
        </w:tc>
        <w:tc>
          <w:tcPr>
            <w:tcW w:w="2731" w:type="dxa"/>
            <w:gridSpan w:val="2"/>
            <w:vAlign w:val="center"/>
          </w:tcPr>
          <w:p>
            <w:pPr>
              <w:spacing w:line="440" w:lineRule="atLeast"/>
              <w:jc w:val="center"/>
              <w:rPr>
                <w:rFonts w:asciiTheme="minorEastAsia" w:hAnsiTheme="minorEastAsia" w:eastAsiaTheme="minorEastAsia"/>
                <w:sz w:val="24"/>
                <w:szCs w:val="24"/>
              </w:rPr>
            </w:pPr>
          </w:p>
        </w:tc>
        <w:tc>
          <w:tcPr>
            <w:tcW w:w="696" w:type="dxa"/>
            <w:vMerge w:val="continue"/>
            <w:vAlign w:val="center"/>
          </w:tcPr>
          <w:p>
            <w:pPr>
              <w:spacing w:line="440" w:lineRule="atLeast"/>
              <w:jc w:val="center"/>
              <w:rPr>
                <w:rFonts w:asciiTheme="minorEastAsia" w:hAnsiTheme="minorEastAsia" w:eastAsiaTheme="minorEastAsia"/>
                <w:sz w:val="24"/>
                <w:szCs w:val="24"/>
              </w:rPr>
            </w:pPr>
          </w:p>
        </w:tc>
        <w:tc>
          <w:tcPr>
            <w:tcW w:w="1858" w:type="dxa"/>
            <w:gridSpan w:val="2"/>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技工</w:t>
            </w:r>
          </w:p>
        </w:tc>
        <w:tc>
          <w:tcPr>
            <w:tcW w:w="2200" w:type="dxa"/>
            <w:gridSpan w:val="2"/>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28" w:hRule="atLeast"/>
        </w:trPr>
        <w:tc>
          <w:tcPr>
            <w:tcW w:w="2235"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经营范围备注</w:t>
            </w:r>
          </w:p>
        </w:tc>
        <w:tc>
          <w:tcPr>
            <w:tcW w:w="7485" w:type="dxa"/>
            <w:gridSpan w:val="7"/>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widowControl/>
        <w:spacing w:before="240" w:line="440" w:lineRule="atLeast"/>
        <w:jc w:val="center"/>
        <w:rPr>
          <w:rFonts w:asciiTheme="minorEastAsia" w:hAnsiTheme="minorEastAsia" w:eastAsiaTheme="minorEastAsia"/>
          <w:b/>
          <w:sz w:val="24"/>
          <w:szCs w:val="24"/>
        </w:rPr>
      </w:pPr>
      <w:r>
        <w:rPr>
          <w:rFonts w:asciiTheme="minorEastAsia" w:hAnsiTheme="minorEastAsia" w:eastAsiaTheme="minorEastAsia"/>
          <w:sz w:val="24"/>
          <w:szCs w:val="24"/>
        </w:rPr>
        <w:br w:type="page"/>
      </w:r>
      <w:bookmarkStart w:id="29" w:name="_Toc475970092"/>
      <w:bookmarkStart w:id="30" w:name="_Toc461116134"/>
      <w:r>
        <w:rPr>
          <w:rFonts w:hint="eastAsia" w:asciiTheme="minorEastAsia" w:hAnsiTheme="minorEastAsia" w:eastAsiaTheme="minorEastAsia"/>
          <w:b/>
          <w:sz w:val="24"/>
          <w:szCs w:val="24"/>
        </w:rPr>
        <w:t>格式6-2</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近年完成的类似项目情况表</w:t>
      </w:r>
      <w:bookmarkEnd w:id="29"/>
      <w:bookmarkEnd w:id="30"/>
    </w:p>
    <w:p>
      <w:pPr>
        <w:spacing w:line="440" w:lineRule="atLeast"/>
        <w:jc w:val="center"/>
        <w:rPr>
          <w:rFonts w:asciiTheme="minorEastAsia" w:hAnsiTheme="minorEastAsia" w:eastAsiaTheme="minorEastAsia"/>
          <w:sz w:val="24"/>
          <w:szCs w:val="24"/>
        </w:rPr>
      </w:pPr>
    </w:p>
    <w:tbl>
      <w:tblPr>
        <w:tblStyle w:val="18"/>
        <w:tblW w:w="9648"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56"/>
        <w:gridCol w:w="709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项目所在地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采购人名称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合同价格</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交付日期</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264"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项目描述</w:t>
            </w:r>
          </w:p>
        </w:tc>
        <w:tc>
          <w:tcPr>
            <w:tcW w:w="7092" w:type="dxa"/>
            <w:vAlign w:val="center"/>
          </w:tcPr>
          <w:p>
            <w:pPr>
              <w:spacing w:line="440" w:lineRule="atLeast"/>
              <w:jc w:val="center"/>
              <w:rPr>
                <w:rFonts w:asciiTheme="minorEastAsia" w:hAnsiTheme="minorEastAsia" w:eastAsiaTheme="minorEastAsia"/>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37" w:hRule="atLeast"/>
        </w:trPr>
        <w:tc>
          <w:tcPr>
            <w:tcW w:w="2556" w:type="dxa"/>
            <w:vAlign w:val="center"/>
          </w:tcPr>
          <w:p>
            <w:pPr>
              <w:spacing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c>
          <w:tcPr>
            <w:tcW w:w="7092" w:type="dxa"/>
            <w:vAlign w:val="center"/>
          </w:tcPr>
          <w:p>
            <w:pPr>
              <w:spacing w:line="440" w:lineRule="atLeast"/>
              <w:jc w:val="center"/>
              <w:rPr>
                <w:rFonts w:asciiTheme="minorEastAsia" w:hAnsiTheme="minorEastAsia" w:eastAsiaTheme="minorEastAsia"/>
                <w:sz w:val="24"/>
                <w:szCs w:val="24"/>
              </w:rPr>
            </w:pPr>
          </w:p>
        </w:tc>
      </w:tr>
    </w:tbl>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供应商签章：</w:t>
      </w:r>
    </w:p>
    <w:p>
      <w:pPr>
        <w:spacing w:line="440" w:lineRule="atLeast"/>
        <w:jc w:val="center"/>
        <w:rPr>
          <w:rFonts w:asciiTheme="minorEastAsia" w:hAnsiTheme="minorEastAsia" w:eastAsiaTheme="minorEastAsia"/>
          <w:b/>
          <w:bCs/>
          <w:sz w:val="24"/>
          <w:szCs w:val="24"/>
        </w:rPr>
      </w:pPr>
    </w:p>
    <w:p>
      <w:pPr>
        <w:pStyle w:val="3"/>
        <w:spacing w:before="0" w:after="0" w:line="440" w:lineRule="atLeast"/>
        <w:jc w:val="center"/>
        <w:rPr>
          <w:rFonts w:asciiTheme="minorEastAsia" w:hAnsiTheme="minorEastAsia" w:eastAsiaTheme="minorEastAsia"/>
          <w:sz w:val="24"/>
          <w:szCs w:val="24"/>
        </w:rPr>
      </w:pP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pStyle w:val="2"/>
        <w:spacing w:before="240" w:after="240"/>
        <w:jc w:val="center"/>
        <w:rPr>
          <w:b/>
          <w:sz w:val="32"/>
        </w:rPr>
      </w:pPr>
      <w:bookmarkStart w:id="31" w:name="_Toc533775686"/>
      <w:r>
        <w:rPr>
          <w:rFonts w:hint="eastAsia"/>
          <w:b/>
          <w:sz w:val="32"/>
        </w:rPr>
        <w:t>7</w:t>
      </w:r>
      <w:r>
        <w:rPr>
          <w:b/>
          <w:sz w:val="32"/>
        </w:rPr>
        <w:t>.</w:t>
      </w:r>
      <w:r>
        <w:rPr>
          <w:rFonts w:hint="eastAsia"/>
          <w:b/>
          <w:sz w:val="32"/>
        </w:rPr>
        <w:t>技术文件</w:t>
      </w:r>
      <w:bookmarkEnd w:id="31"/>
    </w:p>
    <w:p>
      <w:pPr>
        <w:spacing w:before="240" w:line="440" w:lineRule="atLeast"/>
        <w:jc w:val="center"/>
        <w:rPr>
          <w:rFonts w:asciiTheme="minorEastAsia" w:hAnsiTheme="minorEastAsia" w:eastAsiaTheme="minorEastAsia"/>
          <w:b/>
          <w:sz w:val="28"/>
          <w:szCs w:val="24"/>
        </w:rPr>
      </w:pP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内容包括：</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1、货物的技术规格与功能的详细说明</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2、主要外购件、配套件的型号规格和制造商明细表</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3、标准附件、备品备件和专用工具等</w:t>
      </w:r>
    </w:p>
    <w:p>
      <w:pPr>
        <w:spacing w:line="44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4、供应商认为需要说明的其他内容（供应商视需要自行编写）</w:t>
      </w:r>
    </w:p>
    <w:p>
      <w:pPr>
        <w:spacing w:line="440" w:lineRule="atLeast"/>
        <w:rPr>
          <w:rFonts w:asciiTheme="minorEastAsia" w:hAnsiTheme="minorEastAsia" w:eastAsiaTheme="minorEastAsia"/>
          <w:sz w:val="24"/>
          <w:szCs w:val="24"/>
          <w:u w:val="single"/>
        </w:rPr>
      </w:pPr>
    </w:p>
    <w:p>
      <w:pPr>
        <w:spacing w:line="440" w:lineRule="atLeast"/>
        <w:rPr>
          <w:rFonts w:asciiTheme="minorEastAsia" w:hAnsiTheme="minorEastAsia" w:eastAsiaTheme="minorEastAsia"/>
          <w:sz w:val="24"/>
          <w:szCs w:val="24"/>
        </w:rPr>
        <w:sectPr>
          <w:footerReference r:id="rId11" w:type="default"/>
          <w:pgSz w:w="11906" w:h="16838"/>
          <w:pgMar w:top="1418" w:right="1247" w:bottom="1418" w:left="1814" w:header="851" w:footer="992" w:gutter="0"/>
          <w:cols w:space="425" w:num="1"/>
          <w:docGrid w:type="lines" w:linePitch="312" w:charSpace="0"/>
        </w:sectPr>
      </w:pPr>
    </w:p>
    <w:p>
      <w:pPr>
        <w:pStyle w:val="2"/>
        <w:spacing w:before="240" w:after="240"/>
        <w:jc w:val="center"/>
        <w:rPr>
          <w:b/>
          <w:sz w:val="32"/>
        </w:rPr>
      </w:pPr>
      <w:bookmarkStart w:id="32" w:name="_Toc293934829"/>
      <w:bookmarkStart w:id="33" w:name="_Toc533775687"/>
      <w:r>
        <w:rPr>
          <w:rFonts w:hint="eastAsia"/>
          <w:b/>
          <w:sz w:val="32"/>
        </w:rPr>
        <w:t>8</w:t>
      </w:r>
      <w:r>
        <w:rPr>
          <w:b/>
          <w:sz w:val="32"/>
        </w:rPr>
        <w:t>.</w:t>
      </w:r>
      <w:bookmarkEnd w:id="32"/>
      <w:r>
        <w:rPr>
          <w:rFonts w:hint="eastAsia"/>
          <w:b/>
          <w:sz w:val="32"/>
        </w:rPr>
        <w:t>供应商应当提交的资格、资信证明文件</w:t>
      </w:r>
      <w:bookmarkEnd w:id="33"/>
    </w:p>
    <w:p>
      <w:pPr>
        <w:spacing w:line="440" w:lineRule="atLeast"/>
        <w:rPr>
          <w:rFonts w:asciiTheme="minorEastAsia" w:hAnsiTheme="minorEastAsia" w:eastAsiaTheme="minorEastAsia"/>
          <w:strike/>
          <w:sz w:val="24"/>
          <w:szCs w:val="24"/>
        </w:rPr>
      </w:pPr>
    </w:p>
    <w:p>
      <w:p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填写须知：</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供应商应填写和提交下述规定的资格证明文件。复印件均须加盖公章；</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所附格式中要求填写的全部内容都必须如实填写；</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本资格声明的签字人应保证全部声明和填写的内容是真实的和正确的；</w:t>
      </w:r>
    </w:p>
    <w:p>
      <w:pPr>
        <w:numPr>
          <w:ilvl w:val="0"/>
          <w:numId w:val="1"/>
        </w:numPr>
        <w:spacing w:line="40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谈判小组将应用供应商提交的资料，根据自己的判断和考虑决定供应商履行合同的合格性及能力。</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8-1.具有独立承担民事责任的能力的资格证明文件</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如供应商是企业的（包括合伙企业）应提供有效的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企业法人营业执照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或</w:t>
      </w:r>
      <w:r>
        <w:rPr>
          <w:rFonts w:asciiTheme="minorEastAsia" w:hAnsiTheme="minorEastAsia" w:eastAsiaTheme="minorEastAsia"/>
          <w:sz w:val="24"/>
          <w:szCs w:val="24"/>
        </w:rPr>
        <w:t>“</w:t>
      </w:r>
      <w:r>
        <w:rPr>
          <w:rFonts w:hint="eastAsia" w:asciiTheme="minorEastAsia" w:hAnsiTheme="minorEastAsia" w:eastAsiaTheme="minorEastAsia"/>
          <w:sz w:val="24"/>
          <w:szCs w:val="24"/>
        </w:rPr>
        <w:t>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；如供应商是事业单位的应提供</w:t>
      </w:r>
      <w:r>
        <w:rPr>
          <w:rFonts w:asciiTheme="minorEastAsia" w:hAnsiTheme="minorEastAsia" w:eastAsiaTheme="minorEastAsia"/>
          <w:sz w:val="24"/>
          <w:szCs w:val="24"/>
        </w:rPr>
        <w:t>“</w:t>
      </w:r>
      <w:r>
        <w:rPr>
          <w:rFonts w:hint="eastAsia" w:asciiTheme="minorEastAsia" w:hAnsiTheme="minorEastAsia" w:eastAsiaTheme="minorEastAsia"/>
          <w:sz w:val="24"/>
          <w:szCs w:val="24"/>
        </w:rPr>
        <w:t>事业单位法人证书</w:t>
      </w:r>
      <w:r>
        <w:rPr>
          <w:rFonts w:asciiTheme="minorEastAsia" w:hAnsiTheme="minorEastAsia" w:eastAsiaTheme="minorEastAsia"/>
          <w:sz w:val="24"/>
          <w:szCs w:val="24"/>
        </w:rPr>
        <w:t>”</w:t>
      </w:r>
      <w:r>
        <w:rPr>
          <w:rFonts w:hint="eastAsia" w:asciiTheme="minorEastAsia" w:hAnsiTheme="minorEastAsia" w:eastAsiaTheme="minorEastAsia"/>
          <w:sz w:val="24"/>
          <w:szCs w:val="24"/>
        </w:rPr>
        <w:t>；如供应商是非企业专业服务机构的应提供执业许可证等证明文件；供应商是个体工商户的应提供有效的</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个体工商户营业执照</w:t>
      </w:r>
      <w:r>
        <w:rPr>
          <w:rFonts w:asciiTheme="minorEastAsia" w:hAnsiTheme="minorEastAsia" w:eastAsiaTheme="minorEastAsia"/>
          <w:sz w:val="24"/>
          <w:szCs w:val="24"/>
        </w:rPr>
        <w:t>”</w:t>
      </w:r>
      <w:r>
        <w:rPr>
          <w:rFonts w:hint="eastAsia" w:asciiTheme="minorEastAsia" w:hAnsiTheme="minorEastAsia" w:eastAsiaTheme="minorEastAsia"/>
          <w:sz w:val="24"/>
          <w:szCs w:val="24"/>
        </w:rPr>
        <w:t>、组织机构代码证证明文件（实行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的不需单独提供组织机构代码证）；如供应商是自然人的，应提供有效的自然人的身份证明</w:t>
      </w:r>
      <w:r>
        <w:rPr>
          <w:rFonts w:asciiTheme="minorEastAsia" w:hAnsiTheme="minorEastAsia" w:eastAsiaTheme="minorEastAsia"/>
          <w:sz w:val="24"/>
          <w:szCs w:val="24"/>
        </w:rPr>
        <w:t>(</w:t>
      </w:r>
      <w:r>
        <w:rPr>
          <w:rFonts w:hint="eastAsia" w:asciiTheme="minorEastAsia" w:hAnsiTheme="minorEastAsia" w:eastAsiaTheme="minorEastAsia"/>
          <w:sz w:val="24"/>
          <w:szCs w:val="24"/>
        </w:rPr>
        <w:t>中国公民</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 xml:space="preserve">8-2.具有履行合同所必须的设备和专业技术能力的证明文件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供应商提供具有履行合同所必须的设备和专业技术能力的承诺函；（见格式）</w:t>
      </w:r>
    </w:p>
    <w:p>
      <w:pPr>
        <w:widowControl/>
        <w:spacing w:before="240" w:line="440" w:lineRule="atLeast"/>
        <w:rPr>
          <w:rFonts w:asciiTheme="minorEastAsia" w:hAnsiTheme="minorEastAsia" w:eastAsiaTheme="minorEastAsia"/>
          <w:sz w:val="24"/>
          <w:szCs w:val="24"/>
        </w:rPr>
      </w:pPr>
      <w:r>
        <w:rPr>
          <w:rFonts w:hint="eastAsia" w:asciiTheme="minorEastAsia" w:hAnsiTheme="minorEastAsia" w:eastAsiaTheme="minorEastAsia"/>
          <w:b/>
          <w:sz w:val="24"/>
          <w:szCs w:val="24"/>
        </w:rPr>
        <w:t xml:space="preserve">8-3.有依法缴纳税收和社会保障资金的良好记录的证明文件  </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税务登记证（实行</w:t>
      </w:r>
      <w:r>
        <w:rPr>
          <w:rFonts w:asciiTheme="minorEastAsia" w:hAnsiTheme="minorEastAsia" w:eastAsiaTheme="minorEastAsia"/>
          <w:sz w:val="24"/>
          <w:szCs w:val="24"/>
        </w:rPr>
        <w:t>“</w:t>
      </w:r>
      <w:r>
        <w:rPr>
          <w:rFonts w:hint="eastAsia" w:asciiTheme="minorEastAsia" w:hAnsiTheme="minorEastAsia" w:eastAsiaTheme="minorEastAsia"/>
          <w:sz w:val="24"/>
          <w:szCs w:val="24"/>
        </w:rPr>
        <w:t>统一社会信用代码</w:t>
      </w:r>
      <w:r>
        <w:rPr>
          <w:rFonts w:asciiTheme="minorEastAsia" w:hAnsiTheme="minorEastAsia" w:eastAsiaTheme="minorEastAsia"/>
          <w:sz w:val="24"/>
          <w:szCs w:val="24"/>
        </w:rPr>
        <w:t>”</w:t>
      </w:r>
      <w:r>
        <w:rPr>
          <w:rFonts w:hint="eastAsia" w:asciiTheme="minorEastAsia" w:hAnsiTheme="minorEastAsia" w:eastAsiaTheme="minorEastAsia"/>
          <w:sz w:val="24"/>
          <w:szCs w:val="24"/>
        </w:rPr>
        <w:t>的不需单独提供）和谈判前六个月内任意一个月的企业缴税凭证或证明；</w:t>
      </w:r>
    </w:p>
    <w:p>
      <w:pPr>
        <w:spacing w:line="400" w:lineRule="atLeas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谈判前六个月内任意一个月的缴纳社会保障资金的凭证或当地社会保障局出具的缴纳明细。依法免税或不需要缴纳社会保障资金的供应商，应当提供相关文件证明其依法免税或不需要缴纳社会保障资金。</w:t>
      </w:r>
    </w:p>
    <w:p>
      <w:pPr>
        <w:widowControl/>
        <w:spacing w:before="240" w:line="440" w:lineRule="atLeast"/>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 xml:space="preserve">在经营活动中没有重大违法记录的证明文件 </w:t>
      </w:r>
    </w:p>
    <w:p>
      <w:pPr>
        <w:spacing w:line="400" w:lineRule="atLeast"/>
        <w:ind w:firstLine="480" w:firstLineChars="200"/>
        <w:rPr>
          <w:rFonts w:asciiTheme="minorEastAsia" w:hAnsiTheme="minorEastAsia" w:eastAsiaTheme="minorEastAsia"/>
          <w:b/>
          <w:bCs/>
          <w:sz w:val="24"/>
          <w:szCs w:val="24"/>
        </w:rPr>
      </w:pPr>
      <w:r>
        <w:rPr>
          <w:rFonts w:hint="eastAsia" w:asciiTheme="minorEastAsia" w:hAnsiTheme="minorEastAsia" w:eastAsiaTheme="minorEastAsia"/>
          <w:sz w:val="24"/>
          <w:szCs w:val="24"/>
        </w:rPr>
        <w:t>参加采购前三年内</w:t>
      </w:r>
      <w:r>
        <w:rPr>
          <w:rFonts w:asciiTheme="minorEastAsia" w:hAnsiTheme="minorEastAsia" w:eastAsiaTheme="minorEastAsia"/>
          <w:sz w:val="24"/>
          <w:szCs w:val="24"/>
        </w:rPr>
        <w:t>,</w:t>
      </w:r>
      <w:r>
        <w:rPr>
          <w:rFonts w:hint="eastAsia" w:asciiTheme="minorEastAsia" w:hAnsiTheme="minorEastAsia" w:eastAsiaTheme="minorEastAsia"/>
          <w:sz w:val="24"/>
          <w:szCs w:val="24"/>
        </w:rPr>
        <w:t>在经营活动中没有重大违法记录承诺函（见格式）；重大违法记录，是指供应商因违法经营受到刑事处罚或者责令停产停业、吊销许可证或者执照、较大罚款等行政处罚。（见格式）</w:t>
      </w:r>
      <w:r>
        <w:rPr>
          <w:rFonts w:asciiTheme="minorEastAsia" w:hAnsiTheme="minorEastAsia" w:eastAsiaTheme="minorEastAsia"/>
          <w:b/>
          <w:bCs/>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8-2.</w:t>
      </w:r>
      <w:r>
        <w:rPr>
          <w:rFonts w:asciiTheme="minorEastAsia" w:hAnsiTheme="minorEastAsia" w:eastAsiaTheme="minorEastAsia"/>
          <w:b/>
          <w:sz w:val="24"/>
          <w:szCs w:val="24"/>
        </w:rPr>
        <w:t>具备履行合同所必需的设备和专业技术能力的承诺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本公司（或单位）具备本项目履行合同所必需的设备和专业技术能力，特此承诺。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widowControl/>
        <w:spacing w:line="440" w:lineRule="atLeast"/>
        <w:jc w:val="left"/>
        <w:rPr>
          <w:rFonts w:asciiTheme="minorEastAsia" w:hAnsiTheme="minorEastAsia" w:eastAsiaTheme="minorEastAsia"/>
          <w:sz w:val="24"/>
          <w:szCs w:val="24"/>
        </w:rPr>
      </w:pPr>
      <w:r>
        <w:rPr>
          <w:rFonts w:asciiTheme="minorEastAsia" w:hAnsiTheme="minorEastAsia" w:eastAsiaTheme="minorEastAsia"/>
          <w:sz w:val="24"/>
          <w:szCs w:val="24"/>
        </w:rPr>
        <w:br w:type="page"/>
      </w: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8-4.参加采购前三年内</w:t>
      </w:r>
      <w:r>
        <w:rPr>
          <w:rFonts w:asciiTheme="minorEastAsia" w:hAnsiTheme="minorEastAsia" w:eastAsiaTheme="minorEastAsia"/>
          <w:b/>
          <w:sz w:val="24"/>
          <w:szCs w:val="24"/>
        </w:rPr>
        <w:t>,</w:t>
      </w:r>
      <w:r>
        <w:rPr>
          <w:rFonts w:hint="eastAsia" w:asciiTheme="minorEastAsia" w:hAnsiTheme="minorEastAsia" w:eastAsiaTheme="minorEastAsia"/>
          <w:b/>
          <w:sz w:val="24"/>
          <w:szCs w:val="24"/>
        </w:rPr>
        <w:t>在经营活动中没有重大违法记录的</w:t>
      </w:r>
      <w:r>
        <w:rPr>
          <w:rFonts w:asciiTheme="minorEastAsia" w:hAnsiTheme="minorEastAsia" w:eastAsiaTheme="minorEastAsia"/>
          <w:b/>
          <w:sz w:val="24"/>
          <w:szCs w:val="24"/>
        </w:rPr>
        <w:t>承诺</w:t>
      </w:r>
      <w:r>
        <w:rPr>
          <w:rFonts w:hint="eastAsia" w:asciiTheme="minorEastAsia" w:hAnsiTheme="minorEastAsia" w:eastAsiaTheme="minorEastAsia"/>
          <w:b/>
          <w:sz w:val="24"/>
          <w:szCs w:val="24"/>
        </w:rPr>
        <w:t>函</w:t>
      </w:r>
      <w:r>
        <w:rPr>
          <w:rFonts w:asciiTheme="minorEastAsia" w:hAnsiTheme="minorEastAsia" w:eastAsiaTheme="minorEastAsia"/>
          <w:b/>
          <w:sz w:val="24"/>
          <w:szCs w:val="24"/>
        </w:rPr>
        <w:t>（格式）</w:t>
      </w:r>
    </w:p>
    <w:p>
      <w:pPr>
        <w:pStyle w:val="39"/>
        <w:spacing w:line="440" w:lineRule="atLeast"/>
        <w:rPr>
          <w:rFonts w:asciiTheme="minorEastAsia" w:hAnsiTheme="minorEastAsia" w:eastAsiaTheme="minorEastAsia"/>
          <w:color w:val="auto"/>
        </w:rPr>
      </w:pPr>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（格式供参考）</w:t>
      </w:r>
    </w:p>
    <w:p>
      <w:pPr>
        <w:spacing w:line="440" w:lineRule="atLeast"/>
        <w:ind w:firstLine="240" w:firstLineChars="100"/>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autoSpaceDE w:val="0"/>
        <w:autoSpaceDN w:val="0"/>
        <w:adjustRightInd w:val="0"/>
        <w:spacing w:line="440" w:lineRule="atLeast"/>
        <w:ind w:firstLine="720" w:firstLineChars="300"/>
        <w:jc w:val="left"/>
        <w:rPr>
          <w:rFonts w:asciiTheme="minorEastAsia" w:hAnsiTheme="minorEastAsia" w:eastAsiaTheme="minorEastAsia"/>
          <w:sz w:val="24"/>
          <w:szCs w:val="24"/>
        </w:rPr>
      </w:pPr>
      <w:r>
        <w:rPr>
          <w:rFonts w:asciiTheme="minorEastAsia" w:hAnsiTheme="minorEastAsia" w:eastAsiaTheme="minorEastAsia"/>
          <w:sz w:val="24"/>
          <w:szCs w:val="24"/>
        </w:rPr>
        <w:t>本公司（或单位）</w:t>
      </w:r>
      <w:r>
        <w:rPr>
          <w:rFonts w:cs="华文楷体" w:asciiTheme="minorEastAsia" w:hAnsiTheme="minorEastAsia" w:eastAsiaTheme="minorEastAsia"/>
          <w:kern w:val="0"/>
          <w:sz w:val="24"/>
          <w:szCs w:val="24"/>
        </w:rPr>
        <w:t>在该项目</w:t>
      </w:r>
      <w:r>
        <w:rPr>
          <w:rFonts w:hint="eastAsia" w:cs="华文楷体" w:asciiTheme="minorEastAsia" w:hAnsiTheme="minorEastAsia" w:eastAsiaTheme="minorEastAsia"/>
          <w:kern w:val="0"/>
          <w:sz w:val="24"/>
          <w:szCs w:val="24"/>
        </w:rPr>
        <w:t>响应文件递交</w:t>
      </w:r>
      <w:r>
        <w:rPr>
          <w:rFonts w:cs="华文楷体" w:asciiTheme="minorEastAsia" w:hAnsiTheme="minorEastAsia" w:eastAsiaTheme="minorEastAsia"/>
          <w:kern w:val="0"/>
          <w:sz w:val="24"/>
          <w:szCs w:val="24"/>
        </w:rPr>
        <w:t>截止日前三年内，在经营活动中没有重大违法记录，即没有因违法经营受到刑事处罚或者责令停产停业、吊销许可证或者执照、较大数额罚款等行政处罚</w:t>
      </w:r>
      <w:r>
        <w:rPr>
          <w:rFonts w:hint="eastAsia" w:cs="华文楷体" w:asciiTheme="minorEastAsia" w:hAnsiTheme="minorEastAsia" w:eastAsiaTheme="minorEastAsia"/>
          <w:kern w:val="0"/>
          <w:sz w:val="24"/>
          <w:szCs w:val="24"/>
        </w:rPr>
        <w:t>，</w:t>
      </w:r>
      <w:r>
        <w:rPr>
          <w:rFonts w:asciiTheme="minorEastAsia" w:hAnsiTheme="minorEastAsia" w:eastAsiaTheme="minorEastAsia"/>
          <w:sz w:val="24"/>
          <w:szCs w:val="24"/>
        </w:rPr>
        <w:t>特此承诺。</w:t>
      </w:r>
    </w:p>
    <w:p>
      <w:pPr>
        <w:spacing w:line="440" w:lineRule="atLeast"/>
        <w:rPr>
          <w:rFonts w:asciiTheme="minorEastAsia" w:hAnsiTheme="minorEastAsia" w:eastAsiaTheme="minorEastAsia"/>
          <w:sz w:val="24"/>
          <w:szCs w:val="24"/>
        </w:rPr>
      </w:pP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法定代表人或委托代理签字或签章：</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供应商盖章：                                 </w:t>
      </w:r>
    </w:p>
    <w:p>
      <w:pPr>
        <w:spacing w:line="440" w:lineRule="atLeas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jc w:val="center"/>
        <w:rPr>
          <w:rFonts w:asciiTheme="minorEastAsia" w:hAnsiTheme="minorEastAsia" w:eastAsiaTheme="minorEastAsia"/>
          <w:sz w:val="24"/>
          <w:szCs w:val="24"/>
          <w:u w:val="single"/>
        </w:rPr>
      </w:pPr>
    </w:p>
    <w:p>
      <w:pPr>
        <w:widowControl/>
        <w:spacing w:line="440" w:lineRule="atLeast"/>
        <w:jc w:val="left"/>
        <w:rPr>
          <w:rFonts w:asciiTheme="minorEastAsia" w:hAnsiTheme="minorEastAsia" w:eastAsiaTheme="minorEastAsia"/>
          <w:b/>
          <w:bCs/>
          <w:sz w:val="24"/>
          <w:szCs w:val="24"/>
        </w:rPr>
      </w:pPr>
    </w:p>
    <w:p>
      <w:pPr>
        <w:widowControl/>
        <w:spacing w:before="240" w:line="440" w:lineRule="atLeast"/>
        <w:jc w:val="center"/>
        <w:rPr>
          <w:rFonts w:asciiTheme="minorEastAsia" w:hAnsiTheme="minorEastAsia" w:eastAsiaTheme="minorEastAsia"/>
          <w:b/>
          <w:sz w:val="24"/>
          <w:szCs w:val="24"/>
        </w:rPr>
        <w:sectPr>
          <w:footerReference r:id="rId12" w:type="default"/>
          <w:footerReference r:id="rId13" w:type="even"/>
          <w:pgSz w:w="11906" w:h="16838"/>
          <w:pgMar w:top="1418" w:right="1361" w:bottom="1361" w:left="1701" w:header="851" w:footer="992" w:gutter="0"/>
          <w:cols w:space="425" w:num="1"/>
          <w:docGrid w:linePitch="312" w:charSpace="0"/>
        </w:sectPr>
      </w:pPr>
    </w:p>
    <w:p>
      <w:pPr>
        <w:widowControl/>
        <w:spacing w:before="240" w:line="440" w:lineRule="atLeas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格式8-5.法定代表人授权书</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（供应商全称）法定代表人授权（全权代表姓名）为全权代表</w:t>
      </w:r>
      <w:r>
        <w:rPr>
          <w:rFonts w:asciiTheme="minorEastAsia" w:hAnsiTheme="minorEastAsia" w:eastAsiaTheme="minorEastAsia"/>
          <w:sz w:val="24"/>
          <w:szCs w:val="24"/>
        </w:rPr>
        <w:t>,</w:t>
      </w:r>
      <w:r>
        <w:rPr>
          <w:rFonts w:hint="eastAsia" w:asciiTheme="minorEastAsia" w:hAnsiTheme="minorEastAsia" w:eastAsiaTheme="minorEastAsia"/>
          <w:sz w:val="24"/>
          <w:szCs w:val="24"/>
        </w:rPr>
        <w:t>参加贵处组织的（项目编号）项目谈判活动，全权代表我方处理谈判活动中的一切事宜。</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法定代表人签字或签章：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供应商签章：</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日期：</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w:t>
      </w:r>
    </w:p>
    <w:p>
      <w:pPr>
        <w:spacing w:line="440" w:lineRule="atLeas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全权代表姓名：</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职务：</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电话：</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详细通讯地址：</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邮政编码：</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tabs>
          <w:tab w:val="left" w:pos="1470"/>
        </w:tabs>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附：全权代表身份证复印件（正、反面）</w:t>
      </w:r>
    </w:p>
    <w:p>
      <w:pPr>
        <w:tabs>
          <w:tab w:val="left" w:pos="1470"/>
        </w:tabs>
        <w:spacing w:line="440" w:lineRule="atLeast"/>
        <w:rPr>
          <w:rFonts w:asciiTheme="minorEastAsia" w:hAnsiTheme="minorEastAsia" w:eastAsiaTheme="minorEastAsia"/>
          <w:b/>
          <w:sz w:val="24"/>
          <w:szCs w:val="24"/>
        </w:rPr>
        <w:sectPr>
          <w:pgSz w:w="11906" w:h="16838"/>
          <w:pgMar w:top="1418" w:right="1361" w:bottom="1361" w:left="1701" w:header="851" w:footer="992" w:gutter="0"/>
          <w:cols w:space="425" w:num="1"/>
          <w:docGrid w:linePitch="312" w:charSpace="0"/>
        </w:sectPr>
      </w:pPr>
      <w:r>
        <w:rPr>
          <w:rFonts w:hint="eastAsia" w:asciiTheme="minorEastAsia" w:hAnsiTheme="minorEastAsia" w:eastAsiaTheme="minorEastAsia"/>
          <w:b/>
          <w:sz w:val="24"/>
          <w:szCs w:val="24"/>
        </w:rPr>
        <w:t>说明：法定代表人参加采购，不用提供委托（授权）书</w:t>
      </w:r>
    </w:p>
    <w:p>
      <w:pPr>
        <w:widowControl/>
        <w:spacing w:before="240" w:line="440" w:lineRule="atLeast"/>
        <w:jc w:val="center"/>
        <w:rPr>
          <w:rFonts w:asciiTheme="minorEastAsia" w:hAnsiTheme="minorEastAsia" w:eastAsiaTheme="minorEastAsia"/>
          <w:b/>
          <w:sz w:val="24"/>
          <w:szCs w:val="24"/>
        </w:rPr>
      </w:pPr>
      <w:bookmarkStart w:id="34" w:name="_Toc262628298"/>
      <w:bookmarkStart w:id="35" w:name="_Toc262628299"/>
      <w:r>
        <w:rPr>
          <w:rFonts w:hint="eastAsia" w:asciiTheme="minorEastAsia" w:hAnsiTheme="minorEastAsia" w:eastAsiaTheme="minorEastAsia"/>
          <w:b/>
          <w:sz w:val="24"/>
          <w:szCs w:val="24"/>
        </w:rPr>
        <w:t>格式8-6.供应商的资格声明</w:t>
      </w:r>
      <w:bookmarkEnd w:id="34"/>
    </w:p>
    <w:p>
      <w:pPr>
        <w:spacing w:afterLines="100" w:line="440" w:lineRule="atLeas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（供参考格式）</w:t>
      </w:r>
    </w:p>
    <w:p>
      <w:pPr>
        <w:spacing w:line="440" w:lineRule="atLeast"/>
        <w:rPr>
          <w:rFonts w:asciiTheme="minorEastAsia" w:hAnsiTheme="minorEastAsia" w:eastAsiaTheme="minorEastAsia"/>
          <w:sz w:val="24"/>
          <w:szCs w:val="24"/>
        </w:rPr>
      </w:pPr>
      <w:r>
        <w:rPr>
          <w:rFonts w:asciiTheme="minorEastAsia" w:hAnsiTheme="minorEastAsia" w:eastAsiaTheme="minorEastAsia"/>
          <w:sz w:val="24"/>
          <w:szCs w:val="24"/>
        </w:rPr>
        <w:t>致：</w:t>
      </w:r>
      <w:r>
        <w:rPr>
          <w:rFonts w:hint="eastAsia" w:asciiTheme="minorEastAsia" w:hAnsiTheme="minorEastAsia" w:eastAsiaTheme="minorEastAsia"/>
          <w:sz w:val="24"/>
          <w:szCs w:val="24"/>
        </w:rPr>
        <w:t>赣州市人民医院</w:t>
      </w:r>
    </w:p>
    <w:p>
      <w:pPr>
        <w:spacing w:line="440" w:lineRule="atLeast"/>
        <w:ind w:left="2" w:firstLine="476" w:firstLineChars="202"/>
        <w:rPr>
          <w:rFonts w:asciiTheme="minorEastAsia" w:hAnsiTheme="minorEastAsia" w:eastAsiaTheme="minorEastAsia"/>
          <w:spacing w:val="-2"/>
          <w:sz w:val="24"/>
          <w:szCs w:val="24"/>
        </w:rPr>
      </w:pPr>
    </w:p>
    <w:p>
      <w:pPr>
        <w:spacing w:line="440" w:lineRule="atLeast"/>
        <w:ind w:left="2" w:firstLine="476" w:firstLineChars="202"/>
        <w:rPr>
          <w:rFonts w:asciiTheme="minorEastAsia" w:hAnsiTheme="minorEastAsia" w:eastAsiaTheme="minorEastAsia"/>
          <w:sz w:val="24"/>
          <w:szCs w:val="24"/>
        </w:rPr>
      </w:pPr>
      <w:r>
        <w:rPr>
          <w:rFonts w:asciiTheme="minorEastAsia" w:hAnsiTheme="minorEastAsia" w:eastAsiaTheme="minorEastAsia"/>
          <w:spacing w:val="-2"/>
          <w:sz w:val="24"/>
          <w:szCs w:val="24"/>
        </w:rPr>
        <w:t>为响应</w:t>
      </w:r>
      <w:r>
        <w:rPr>
          <w:rFonts w:hint="eastAsia" w:asciiTheme="minorEastAsia" w:hAnsiTheme="minorEastAsia" w:eastAsiaTheme="minorEastAsia"/>
          <w:spacing w:val="-2"/>
          <w:sz w:val="24"/>
          <w:szCs w:val="24"/>
        </w:rPr>
        <w:t>贵</w:t>
      </w:r>
      <w:r>
        <w:rPr>
          <w:rFonts w:asciiTheme="minorEastAsia" w:hAnsiTheme="minorEastAsia" w:eastAsiaTheme="minorEastAsia"/>
          <w:spacing w:val="-2"/>
          <w:sz w:val="24"/>
          <w:szCs w:val="24"/>
        </w:rPr>
        <w:t>方</w:t>
      </w:r>
      <w:r>
        <w:rPr>
          <w:rFonts w:hint="eastAsia" w:asciiTheme="minorEastAsia" w:hAnsiTheme="minorEastAsia" w:eastAsiaTheme="minorEastAsia"/>
          <w:i/>
          <w:spacing w:val="-2"/>
          <w:sz w:val="24"/>
          <w:szCs w:val="24"/>
          <w:u w:val="single"/>
        </w:rPr>
        <w:t>（项目名称、项目编号）</w:t>
      </w:r>
      <w:r>
        <w:rPr>
          <w:rFonts w:hint="eastAsia" w:asciiTheme="minorEastAsia" w:hAnsiTheme="minorEastAsia" w:eastAsiaTheme="minorEastAsia"/>
          <w:spacing w:val="-2"/>
          <w:sz w:val="24"/>
          <w:szCs w:val="24"/>
        </w:rPr>
        <w:t>谈判邀请</w:t>
      </w:r>
      <w:r>
        <w:rPr>
          <w:rFonts w:asciiTheme="minorEastAsia" w:hAnsiTheme="minorEastAsia" w:eastAsiaTheme="minorEastAsia"/>
          <w:spacing w:val="-2"/>
          <w:sz w:val="24"/>
          <w:szCs w:val="24"/>
        </w:rPr>
        <w:t>，下述签字人愿参与</w:t>
      </w:r>
      <w:r>
        <w:rPr>
          <w:rFonts w:hint="eastAsia" w:asciiTheme="minorEastAsia" w:hAnsiTheme="minorEastAsia" w:eastAsiaTheme="minorEastAsia"/>
          <w:spacing w:val="-2"/>
          <w:sz w:val="24"/>
          <w:szCs w:val="24"/>
        </w:rPr>
        <w:t>谈判</w:t>
      </w:r>
      <w:r>
        <w:rPr>
          <w:rFonts w:asciiTheme="minorEastAsia" w:hAnsiTheme="minorEastAsia" w:eastAsiaTheme="minorEastAsia"/>
          <w:spacing w:val="-2"/>
          <w:sz w:val="24"/>
          <w:szCs w:val="24"/>
        </w:rPr>
        <w:t>，提供</w:t>
      </w:r>
      <w:r>
        <w:rPr>
          <w:rFonts w:hint="eastAsia" w:asciiTheme="minorEastAsia" w:hAnsiTheme="minorEastAsia" w:eastAsiaTheme="minorEastAsia"/>
          <w:spacing w:val="-2"/>
          <w:sz w:val="24"/>
          <w:szCs w:val="24"/>
        </w:rPr>
        <w:t>采购</w:t>
      </w:r>
      <w:r>
        <w:rPr>
          <w:rFonts w:asciiTheme="minorEastAsia" w:hAnsiTheme="minorEastAsia" w:eastAsiaTheme="minorEastAsia"/>
          <w:spacing w:val="-2"/>
          <w:sz w:val="24"/>
          <w:szCs w:val="24"/>
        </w:rPr>
        <w:t>需求一览表</w:t>
      </w:r>
      <w:r>
        <w:rPr>
          <w:rFonts w:hint="eastAsia" w:asciiTheme="minorEastAsia" w:hAnsiTheme="minorEastAsia" w:eastAsiaTheme="minorEastAsia"/>
          <w:spacing w:val="-2"/>
          <w:sz w:val="24"/>
          <w:szCs w:val="24"/>
        </w:rPr>
        <w:t>和技术要求</w:t>
      </w:r>
      <w:r>
        <w:rPr>
          <w:rFonts w:asciiTheme="minorEastAsia" w:hAnsiTheme="minorEastAsia" w:eastAsiaTheme="minorEastAsia"/>
          <w:sz w:val="24"/>
          <w:szCs w:val="24"/>
        </w:rPr>
        <w:t>规定的</w:t>
      </w:r>
      <w:r>
        <w:rPr>
          <w:rFonts w:hint="eastAsia" w:asciiTheme="minorEastAsia" w:hAnsiTheme="minorEastAsia" w:eastAsiaTheme="minorEastAsia"/>
          <w:sz w:val="24"/>
          <w:szCs w:val="24"/>
        </w:rPr>
        <w:t>货物和有关服务</w:t>
      </w:r>
      <w:r>
        <w:rPr>
          <w:rFonts w:hint="eastAsia" w:asciiTheme="minorEastAsia" w:hAnsiTheme="minorEastAsia" w:eastAsiaTheme="minorEastAsia"/>
          <w:spacing w:val="-2"/>
          <w:sz w:val="24"/>
          <w:szCs w:val="24"/>
        </w:rPr>
        <w:t>，</w:t>
      </w:r>
      <w:r>
        <w:rPr>
          <w:rFonts w:asciiTheme="minorEastAsia" w:hAnsiTheme="minorEastAsia" w:eastAsiaTheme="minorEastAsia"/>
          <w:spacing w:val="-2"/>
          <w:sz w:val="24"/>
          <w:szCs w:val="24"/>
        </w:rPr>
        <w:t>提交下述文件并声明全</w:t>
      </w:r>
      <w:r>
        <w:rPr>
          <w:rFonts w:asciiTheme="minorEastAsia" w:hAnsiTheme="minorEastAsia" w:eastAsiaTheme="minorEastAsia"/>
          <w:sz w:val="24"/>
          <w:szCs w:val="24"/>
        </w:rPr>
        <w:t>部说明是真实的和正确的。</w:t>
      </w:r>
    </w:p>
    <w:p>
      <w:pPr>
        <w:spacing w:line="440" w:lineRule="atLeast"/>
        <w:ind w:left="462"/>
        <w:rPr>
          <w:rFonts w:asciiTheme="minorEastAsia" w:hAnsiTheme="minorEastAsia" w:eastAsiaTheme="minorEastAsia"/>
          <w:sz w:val="24"/>
          <w:szCs w:val="24"/>
        </w:rPr>
      </w:pPr>
      <w:r>
        <w:rPr>
          <w:rFonts w:hint="eastAsia" w:asciiTheme="minorEastAsia" w:hAnsiTheme="minorEastAsia" w:eastAsiaTheme="minorEastAsia"/>
          <w:sz w:val="24"/>
          <w:szCs w:val="24"/>
        </w:rPr>
        <w:t>1.</w:t>
      </w:r>
      <w:r>
        <w:rPr>
          <w:rFonts w:asciiTheme="minorEastAsia" w:hAnsiTheme="minorEastAsia" w:eastAsiaTheme="minorEastAsia"/>
          <w:sz w:val="24"/>
          <w:szCs w:val="24"/>
        </w:rPr>
        <w:t>我方的资格声明正本一份</w:t>
      </w:r>
      <w:r>
        <w:rPr>
          <w:rFonts w:hint="eastAsia" w:asciiTheme="minorEastAsia" w:hAnsiTheme="minorEastAsia" w:eastAsiaTheme="minorEastAsia"/>
          <w:sz w:val="24"/>
          <w:szCs w:val="24"/>
        </w:rPr>
        <w:t>。</w:t>
      </w:r>
    </w:p>
    <w:p>
      <w:pPr>
        <w:spacing w:line="440" w:lineRule="atLeast"/>
        <w:ind w:left="959" w:leftChars="228" w:hanging="480" w:hangingChars="200"/>
        <w:rPr>
          <w:rFonts w:asciiTheme="minorEastAsia" w:hAnsiTheme="minorEastAsia" w:eastAsiaTheme="minorEastAsia"/>
          <w:sz w:val="24"/>
          <w:szCs w:val="24"/>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下述签字人在证书中证明</w:t>
      </w:r>
      <w:r>
        <w:rPr>
          <w:rFonts w:hint="eastAsia" w:asciiTheme="minorEastAsia" w:hAnsiTheme="minorEastAsia" w:eastAsiaTheme="minorEastAsia"/>
          <w:sz w:val="24"/>
          <w:szCs w:val="24"/>
        </w:rPr>
        <w:t>本</w:t>
      </w:r>
      <w:r>
        <w:rPr>
          <w:rFonts w:asciiTheme="minorEastAsia" w:hAnsiTheme="minorEastAsia" w:eastAsiaTheme="minorEastAsia"/>
          <w:sz w:val="24"/>
          <w:szCs w:val="24"/>
        </w:rPr>
        <w:t>资格文件中的内容是真实的和正确的。</w:t>
      </w: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法定代表人或委托代理签字或签章：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供应商签章：                                 </w:t>
      </w:r>
    </w:p>
    <w:p>
      <w:pPr>
        <w:spacing w:line="440" w:lineRule="atLeas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bookmarkEnd w:id="35"/>
    <w:p>
      <w:pPr>
        <w:tabs>
          <w:tab w:val="left" w:pos="1470"/>
        </w:tabs>
        <w:spacing w:line="440" w:lineRule="atLeast"/>
        <w:rPr>
          <w:rFonts w:asciiTheme="minorEastAsia" w:hAnsiTheme="minorEastAsia" w:eastAsiaTheme="minorEastAsia"/>
          <w:sz w:val="24"/>
          <w:szCs w:val="24"/>
          <w:u w:val="single"/>
        </w:rPr>
        <w:sectPr>
          <w:pgSz w:w="11906" w:h="16838"/>
          <w:pgMar w:top="1418" w:right="1247" w:bottom="1418" w:left="1814" w:header="851" w:footer="992" w:gutter="0"/>
          <w:cols w:space="425" w:num="1"/>
          <w:docGrid w:type="lines" w:linePitch="312" w:charSpace="0"/>
        </w:sectPr>
      </w:pPr>
    </w:p>
    <w:p>
      <w:pPr>
        <w:widowControl/>
        <w:spacing w:line="440" w:lineRule="atLeast"/>
        <w:jc w:val="left"/>
        <w:rPr>
          <w:rFonts w:asciiTheme="minorEastAsia" w:hAnsiTheme="minorEastAsia" w:eastAsiaTheme="minorEastAsia"/>
          <w:sz w:val="24"/>
          <w:szCs w:val="24"/>
        </w:rPr>
      </w:pPr>
    </w:p>
    <w:p>
      <w:pPr>
        <w:widowControl/>
        <w:spacing w:line="440" w:lineRule="atLeast"/>
        <w:jc w:val="center"/>
        <w:rPr>
          <w:rFonts w:asciiTheme="minorEastAsia" w:hAnsiTheme="minorEastAsia" w:eastAsiaTheme="minorEastAsia"/>
          <w:b/>
          <w:sz w:val="24"/>
          <w:szCs w:val="24"/>
        </w:rPr>
      </w:pPr>
      <w:bookmarkStart w:id="36" w:name="_Toc495487764"/>
      <w:bookmarkStart w:id="37" w:name="_Toc499477458"/>
      <w:r>
        <w:rPr>
          <w:rFonts w:hint="eastAsia" w:asciiTheme="minorEastAsia" w:hAnsiTheme="minorEastAsia" w:eastAsiaTheme="minorEastAsia"/>
          <w:b/>
          <w:sz w:val="24"/>
          <w:szCs w:val="24"/>
        </w:rPr>
        <w:t>8-7.其他资格证明文件</w:t>
      </w:r>
      <w:bookmarkEnd w:id="36"/>
      <w:bookmarkEnd w:id="37"/>
    </w:p>
    <w:p>
      <w:pPr>
        <w:widowControl/>
        <w:spacing w:line="440" w:lineRule="atLeast"/>
        <w:jc w:val="center"/>
        <w:rPr>
          <w:rFonts w:asciiTheme="minorEastAsia" w:hAnsiTheme="minorEastAsia" w:eastAsiaTheme="minorEastAsia"/>
          <w:b/>
          <w:sz w:val="24"/>
          <w:szCs w:val="24"/>
        </w:rPr>
      </w:pPr>
    </w:p>
    <w:p>
      <w:pPr>
        <w:spacing w:before="240" w:line="440" w:lineRule="atLeast"/>
        <w:ind w:firstLine="3021" w:firstLineChars="1254"/>
        <w:rPr>
          <w:rFonts w:asciiTheme="minorEastAsia" w:hAnsiTheme="minorEastAsia" w:eastAsiaTheme="minorEastAsia"/>
          <w:b/>
          <w:sz w:val="24"/>
          <w:szCs w:val="24"/>
        </w:rPr>
      </w:pPr>
    </w:p>
    <w:p/>
    <w:sectPr>
      <w:footerReference r:id="rId14" w:type="default"/>
      <w:pgSz w:w="11906" w:h="16838"/>
      <w:pgMar w:top="1440" w:right="1418" w:bottom="1440"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w:t>
    </w:r>
    <w:r>
      <w:rPr>
        <w:rStyle w:val="21"/>
      </w:rPr>
      <w:fldChar w:fldCharType="end"/>
    </w:r>
  </w:p>
  <w:p>
    <w:pPr>
      <w:pStyle w:val="1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26</w:t>
    </w:r>
    <w:r>
      <w:rPr>
        <w:rStyle w:val="21"/>
      </w:rP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41087"/>
    </w:sdtPr>
    <w:sdtContent>
      <w:p>
        <w:pPr>
          <w:pStyle w:val="12"/>
          <w:jc w:val="center"/>
        </w:pPr>
      </w:p>
    </w:sdtContent>
  </w:sdt>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890103"/>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13</w:t>
    </w:r>
    <w:r>
      <w:rPr>
        <w:rStyle w:val="21"/>
      </w:rP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14</w:t>
    </w:r>
    <w:r>
      <w:rPr>
        <w:rStyle w:val="21"/>
      </w:rPr>
      <w:fldChar w:fldCharType="end"/>
    </w:r>
  </w:p>
  <w:p>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16</w:t>
    </w:r>
    <w:r>
      <w:rPr>
        <w:rStyle w:val="21"/>
      </w:rPr>
      <w:fldChar w:fldCharType="end"/>
    </w:r>
  </w:p>
  <w:p>
    <w:pPr>
      <w:pStyle w:val="12"/>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21</w:t>
    </w:r>
    <w:r>
      <w:rPr>
        <w:rStyle w:val="21"/>
      </w:rPr>
      <w:fldChar w:fldCharType="end"/>
    </w:r>
  </w:p>
  <w:p>
    <w:pPr>
      <w:pStyle w:val="12"/>
      <w:ind w:right="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C52"/>
    <w:rsid w:val="00062EC7"/>
    <w:rsid w:val="0008464A"/>
    <w:rsid w:val="000B0F07"/>
    <w:rsid w:val="000E59B1"/>
    <w:rsid w:val="0016252E"/>
    <w:rsid w:val="001D45E0"/>
    <w:rsid w:val="001F265F"/>
    <w:rsid w:val="001F6F82"/>
    <w:rsid w:val="00241EC0"/>
    <w:rsid w:val="00243259"/>
    <w:rsid w:val="002823A6"/>
    <w:rsid w:val="0029334A"/>
    <w:rsid w:val="002F0C52"/>
    <w:rsid w:val="00320237"/>
    <w:rsid w:val="0037103C"/>
    <w:rsid w:val="003C3981"/>
    <w:rsid w:val="003D7CBF"/>
    <w:rsid w:val="00470E9F"/>
    <w:rsid w:val="004F57EE"/>
    <w:rsid w:val="00595898"/>
    <w:rsid w:val="005970B0"/>
    <w:rsid w:val="005A1707"/>
    <w:rsid w:val="005C1514"/>
    <w:rsid w:val="00606F17"/>
    <w:rsid w:val="0068322F"/>
    <w:rsid w:val="006A6165"/>
    <w:rsid w:val="006B2115"/>
    <w:rsid w:val="007054CD"/>
    <w:rsid w:val="007F33BD"/>
    <w:rsid w:val="00887C6A"/>
    <w:rsid w:val="008C31FC"/>
    <w:rsid w:val="008C3ADA"/>
    <w:rsid w:val="00946E9E"/>
    <w:rsid w:val="00A2769E"/>
    <w:rsid w:val="00A574FA"/>
    <w:rsid w:val="00B1204C"/>
    <w:rsid w:val="00B31A76"/>
    <w:rsid w:val="00BA54A1"/>
    <w:rsid w:val="00BD0040"/>
    <w:rsid w:val="00BD7DFC"/>
    <w:rsid w:val="00BF161C"/>
    <w:rsid w:val="00CE5392"/>
    <w:rsid w:val="00D80185"/>
    <w:rsid w:val="00E113B0"/>
    <w:rsid w:val="00E87C1E"/>
    <w:rsid w:val="00F138FE"/>
    <w:rsid w:val="00F204CC"/>
    <w:rsid w:val="00F66CFE"/>
    <w:rsid w:val="00F7786A"/>
    <w:rsid w:val="01262113"/>
    <w:rsid w:val="01517A58"/>
    <w:rsid w:val="020413E9"/>
    <w:rsid w:val="055E74D9"/>
    <w:rsid w:val="05A259F1"/>
    <w:rsid w:val="06434357"/>
    <w:rsid w:val="0C0305AF"/>
    <w:rsid w:val="0DBF66E3"/>
    <w:rsid w:val="0E161F02"/>
    <w:rsid w:val="0E59796A"/>
    <w:rsid w:val="0FB13DA4"/>
    <w:rsid w:val="136F081D"/>
    <w:rsid w:val="16F95366"/>
    <w:rsid w:val="17894F86"/>
    <w:rsid w:val="185F2E14"/>
    <w:rsid w:val="19295AA1"/>
    <w:rsid w:val="1967240D"/>
    <w:rsid w:val="19873570"/>
    <w:rsid w:val="1A304881"/>
    <w:rsid w:val="1A8B757B"/>
    <w:rsid w:val="1B6D5A33"/>
    <w:rsid w:val="1C6619D6"/>
    <w:rsid w:val="1CE11745"/>
    <w:rsid w:val="1D55579B"/>
    <w:rsid w:val="1E04799C"/>
    <w:rsid w:val="21152A38"/>
    <w:rsid w:val="21B40E5C"/>
    <w:rsid w:val="22980111"/>
    <w:rsid w:val="24326DF1"/>
    <w:rsid w:val="24F7029B"/>
    <w:rsid w:val="256D3695"/>
    <w:rsid w:val="2641309E"/>
    <w:rsid w:val="2787664C"/>
    <w:rsid w:val="29A84304"/>
    <w:rsid w:val="2A4B00AA"/>
    <w:rsid w:val="2A942A20"/>
    <w:rsid w:val="2E3B75FC"/>
    <w:rsid w:val="2EA451BE"/>
    <w:rsid w:val="2F0C4AC8"/>
    <w:rsid w:val="33417AC7"/>
    <w:rsid w:val="338A3281"/>
    <w:rsid w:val="33FB431A"/>
    <w:rsid w:val="34007C4D"/>
    <w:rsid w:val="349802D9"/>
    <w:rsid w:val="350230B9"/>
    <w:rsid w:val="35A6339D"/>
    <w:rsid w:val="36607615"/>
    <w:rsid w:val="36C53AB6"/>
    <w:rsid w:val="37285450"/>
    <w:rsid w:val="372C1834"/>
    <w:rsid w:val="37513ABD"/>
    <w:rsid w:val="37DF52E0"/>
    <w:rsid w:val="382B01BB"/>
    <w:rsid w:val="39170DBA"/>
    <w:rsid w:val="392E38CE"/>
    <w:rsid w:val="3C014CF4"/>
    <w:rsid w:val="3C8461D9"/>
    <w:rsid w:val="3DB86EC2"/>
    <w:rsid w:val="3E1C595B"/>
    <w:rsid w:val="3E36565C"/>
    <w:rsid w:val="3F151447"/>
    <w:rsid w:val="3F566DB0"/>
    <w:rsid w:val="3FBB6A44"/>
    <w:rsid w:val="40044169"/>
    <w:rsid w:val="427450A4"/>
    <w:rsid w:val="442A52B9"/>
    <w:rsid w:val="44AC07D5"/>
    <w:rsid w:val="451C706C"/>
    <w:rsid w:val="45B12AF2"/>
    <w:rsid w:val="46091A76"/>
    <w:rsid w:val="498A1C8B"/>
    <w:rsid w:val="4A355AE4"/>
    <w:rsid w:val="4AAA11F6"/>
    <w:rsid w:val="4AC97387"/>
    <w:rsid w:val="4AD203D4"/>
    <w:rsid w:val="51C40949"/>
    <w:rsid w:val="54581907"/>
    <w:rsid w:val="54E73B66"/>
    <w:rsid w:val="553239D7"/>
    <w:rsid w:val="55B67588"/>
    <w:rsid w:val="57647C78"/>
    <w:rsid w:val="5ABA0C03"/>
    <w:rsid w:val="5AD7610B"/>
    <w:rsid w:val="5AE1172E"/>
    <w:rsid w:val="5F482BBC"/>
    <w:rsid w:val="60441168"/>
    <w:rsid w:val="608B564A"/>
    <w:rsid w:val="63470076"/>
    <w:rsid w:val="6381334D"/>
    <w:rsid w:val="66177F47"/>
    <w:rsid w:val="6987717E"/>
    <w:rsid w:val="6F066E31"/>
    <w:rsid w:val="7189237A"/>
    <w:rsid w:val="71B205C1"/>
    <w:rsid w:val="71C93182"/>
    <w:rsid w:val="73192E1A"/>
    <w:rsid w:val="7330338C"/>
    <w:rsid w:val="73E877E6"/>
    <w:rsid w:val="77855D8E"/>
    <w:rsid w:val="77A607E9"/>
    <w:rsid w:val="78392B62"/>
    <w:rsid w:val="7B4E2D2D"/>
    <w:rsid w:val="7B8D2102"/>
    <w:rsid w:val="7FA965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6"/>
    <w:qFormat/>
    <w:uiPriority w:val="99"/>
    <w:pPr>
      <w:keepNext/>
      <w:outlineLvl w:val="0"/>
    </w:pPr>
    <w:rPr>
      <w:rFonts w:ascii="宋体"/>
      <w:sz w:val="28"/>
    </w:rPr>
  </w:style>
  <w:style w:type="paragraph" w:styleId="3">
    <w:name w:val="heading 2"/>
    <w:basedOn w:val="1"/>
    <w:next w:val="1"/>
    <w:link w:val="2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8"/>
    <w:qFormat/>
    <w:uiPriority w:val="0"/>
    <w:pPr>
      <w:keepNext/>
      <w:keepLines/>
      <w:spacing w:before="260" w:after="260" w:line="416"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33"/>
    <w:semiHidden/>
    <w:qFormat/>
    <w:uiPriority w:val="0"/>
    <w:pPr>
      <w:jc w:val="left"/>
    </w:pPr>
  </w:style>
  <w:style w:type="paragraph" w:styleId="6">
    <w:name w:val="Body Text"/>
    <w:basedOn w:val="1"/>
    <w:link w:val="4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link w:val="31"/>
    <w:qFormat/>
    <w:uiPriority w:val="0"/>
    <w:pPr>
      <w:spacing w:line="360" w:lineRule="auto"/>
    </w:pPr>
    <w:rPr>
      <w:rFonts w:ascii="楷体_GB2312" w:hAnsi="Courier New" w:eastAsia="楷体_GB2312"/>
      <w:sz w:val="24"/>
    </w:rPr>
  </w:style>
  <w:style w:type="paragraph" w:styleId="9">
    <w:name w:val="Date"/>
    <w:basedOn w:val="1"/>
    <w:next w:val="1"/>
    <w:link w:val="37"/>
    <w:qFormat/>
    <w:uiPriority w:val="0"/>
    <w:rPr>
      <w:sz w:val="28"/>
    </w:rPr>
  </w:style>
  <w:style w:type="paragraph" w:styleId="10">
    <w:name w:val="Body Text Indent 2"/>
    <w:basedOn w:val="1"/>
    <w:link w:val="29"/>
    <w:qFormat/>
    <w:uiPriority w:val="99"/>
    <w:pPr>
      <w:spacing w:line="312" w:lineRule="auto"/>
      <w:ind w:firstLine="480" w:firstLineChars="200"/>
    </w:pPr>
    <w:rPr>
      <w:sz w:val="24"/>
    </w:rPr>
  </w:style>
  <w:style w:type="paragraph" w:styleId="11">
    <w:name w:val="Balloon Text"/>
    <w:basedOn w:val="1"/>
    <w:link w:val="35"/>
    <w:semiHidden/>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913"/>
      </w:tabs>
      <w:ind w:firstLine="422" w:firstLineChars="200"/>
    </w:pPr>
    <w:rPr>
      <w:b/>
    </w:rPr>
  </w:style>
  <w:style w:type="paragraph" w:styleId="15">
    <w:name w:val="toc 2"/>
    <w:basedOn w:val="1"/>
    <w:next w:val="1"/>
    <w:qFormat/>
    <w:uiPriority w:val="39"/>
    <w:pPr>
      <w:tabs>
        <w:tab w:val="left" w:pos="941"/>
        <w:tab w:val="right" w:leader="dot" w:pos="9923"/>
      </w:tabs>
      <w:ind w:left="420" w:leftChars="200" w:right="283" w:rightChars="135"/>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7">
    <w:name w:val="annotation subject"/>
    <w:basedOn w:val="5"/>
    <w:next w:val="5"/>
    <w:link w:val="34"/>
    <w:semiHidden/>
    <w:qFormat/>
    <w:uiPriority w:val="0"/>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1">
    <w:name w:val="page number"/>
    <w:basedOn w:val="20"/>
    <w:qFormat/>
    <w:uiPriority w:val="0"/>
  </w:style>
  <w:style w:type="character" w:styleId="22">
    <w:name w:val="Hyperlink"/>
    <w:qFormat/>
    <w:uiPriority w:val="99"/>
    <w:rPr>
      <w:color w:val="0000FF"/>
      <w:u w:val="single"/>
    </w:rPr>
  </w:style>
  <w:style w:type="character" w:styleId="23">
    <w:name w:val="annotation reference"/>
    <w:semiHidden/>
    <w:qFormat/>
    <w:uiPriority w:val="0"/>
    <w:rPr>
      <w:sz w:val="21"/>
      <w:szCs w:val="21"/>
    </w:rPr>
  </w:style>
  <w:style w:type="character" w:customStyle="1" w:styleId="24">
    <w:name w:val="页眉 Char"/>
    <w:basedOn w:val="20"/>
    <w:link w:val="13"/>
    <w:semiHidden/>
    <w:qFormat/>
    <w:uiPriority w:val="99"/>
    <w:rPr>
      <w:sz w:val="18"/>
      <w:szCs w:val="18"/>
    </w:rPr>
  </w:style>
  <w:style w:type="character" w:customStyle="1" w:styleId="25">
    <w:name w:val="页脚 Char"/>
    <w:basedOn w:val="20"/>
    <w:link w:val="12"/>
    <w:qFormat/>
    <w:uiPriority w:val="0"/>
    <w:rPr>
      <w:sz w:val="18"/>
      <w:szCs w:val="18"/>
    </w:rPr>
  </w:style>
  <w:style w:type="character" w:customStyle="1" w:styleId="26">
    <w:name w:val="标题 1 Char"/>
    <w:basedOn w:val="20"/>
    <w:link w:val="2"/>
    <w:qFormat/>
    <w:uiPriority w:val="99"/>
    <w:rPr>
      <w:rFonts w:ascii="宋体" w:hAnsi="Times New Roman" w:eastAsia="宋体" w:cs="Times New Roman"/>
      <w:sz w:val="28"/>
      <w:szCs w:val="20"/>
    </w:rPr>
  </w:style>
  <w:style w:type="character" w:customStyle="1" w:styleId="27">
    <w:name w:val="标题 2 Char"/>
    <w:basedOn w:val="20"/>
    <w:link w:val="3"/>
    <w:qFormat/>
    <w:uiPriority w:val="99"/>
    <w:rPr>
      <w:rFonts w:ascii="Arial" w:hAnsi="Arial" w:eastAsia="黑体" w:cs="Times New Roman"/>
      <w:b/>
      <w:bCs/>
      <w:sz w:val="32"/>
      <w:szCs w:val="32"/>
    </w:rPr>
  </w:style>
  <w:style w:type="character" w:customStyle="1" w:styleId="28">
    <w:name w:val="标题 3 Char"/>
    <w:basedOn w:val="20"/>
    <w:link w:val="4"/>
    <w:qFormat/>
    <w:uiPriority w:val="0"/>
    <w:rPr>
      <w:rFonts w:ascii="Times New Roman" w:hAnsi="Times New Roman" w:eastAsia="宋体" w:cs="Times New Roman"/>
      <w:b/>
      <w:bCs/>
      <w:sz w:val="32"/>
      <w:szCs w:val="32"/>
    </w:rPr>
  </w:style>
  <w:style w:type="character" w:customStyle="1" w:styleId="29">
    <w:name w:val="正文文本缩进 2 Char"/>
    <w:basedOn w:val="20"/>
    <w:link w:val="10"/>
    <w:qFormat/>
    <w:uiPriority w:val="99"/>
    <w:rPr>
      <w:rFonts w:ascii="Times New Roman" w:hAnsi="Times New Roman" w:eastAsia="宋体" w:cs="Times New Roman"/>
      <w:sz w:val="24"/>
      <w:szCs w:val="20"/>
    </w:rPr>
  </w:style>
  <w:style w:type="paragraph" w:customStyle="1" w:styleId="30">
    <w:name w:val="Char2"/>
    <w:basedOn w:val="1"/>
    <w:qFormat/>
    <w:uiPriority w:val="0"/>
    <w:pPr>
      <w:ind w:left="432" w:hanging="432"/>
    </w:pPr>
    <w:rPr>
      <w:sz w:val="24"/>
      <w:szCs w:val="24"/>
    </w:rPr>
  </w:style>
  <w:style w:type="character" w:customStyle="1" w:styleId="31">
    <w:name w:val="纯文本 Char"/>
    <w:basedOn w:val="20"/>
    <w:link w:val="8"/>
    <w:qFormat/>
    <w:uiPriority w:val="0"/>
    <w:rPr>
      <w:rFonts w:ascii="楷体_GB2312" w:hAnsi="Courier New" w:eastAsia="楷体_GB2312" w:cs="Times New Roman"/>
      <w:sz w:val="24"/>
      <w:szCs w:val="20"/>
    </w:rPr>
  </w:style>
  <w:style w:type="paragraph" w:customStyle="1" w:styleId="3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3">
    <w:name w:val="批注文字 Char"/>
    <w:basedOn w:val="20"/>
    <w:link w:val="5"/>
    <w:semiHidden/>
    <w:qFormat/>
    <w:uiPriority w:val="0"/>
    <w:rPr>
      <w:rFonts w:ascii="Times New Roman" w:hAnsi="Times New Roman" w:eastAsia="宋体" w:cs="Times New Roman"/>
      <w:szCs w:val="20"/>
    </w:rPr>
  </w:style>
  <w:style w:type="character" w:customStyle="1" w:styleId="34">
    <w:name w:val="批注主题 Char"/>
    <w:basedOn w:val="33"/>
    <w:link w:val="17"/>
    <w:semiHidden/>
    <w:qFormat/>
    <w:uiPriority w:val="0"/>
    <w:rPr>
      <w:b/>
      <w:bCs/>
    </w:rPr>
  </w:style>
  <w:style w:type="character" w:customStyle="1" w:styleId="35">
    <w:name w:val="批注框文本 Char"/>
    <w:basedOn w:val="20"/>
    <w:link w:val="11"/>
    <w:semiHidden/>
    <w:qFormat/>
    <w:uiPriority w:val="99"/>
    <w:rPr>
      <w:rFonts w:ascii="Times New Roman" w:hAnsi="Times New Roman" w:eastAsia="宋体" w:cs="Times New Roman"/>
      <w:sz w:val="18"/>
      <w:szCs w:val="18"/>
    </w:rPr>
  </w:style>
  <w:style w:type="paragraph" w:styleId="36">
    <w:name w:val="List Paragraph"/>
    <w:basedOn w:val="1"/>
    <w:qFormat/>
    <w:uiPriority w:val="34"/>
    <w:pPr>
      <w:ind w:firstLine="420" w:firstLineChars="200"/>
    </w:pPr>
    <w:rPr>
      <w:szCs w:val="24"/>
    </w:rPr>
  </w:style>
  <w:style w:type="character" w:customStyle="1" w:styleId="37">
    <w:name w:val="日期 Char"/>
    <w:basedOn w:val="20"/>
    <w:link w:val="9"/>
    <w:qFormat/>
    <w:uiPriority w:val="0"/>
    <w:rPr>
      <w:rFonts w:ascii="Times New Roman" w:hAnsi="Times New Roman" w:eastAsia="宋体" w:cs="Times New Roman"/>
      <w:sz w:val="28"/>
      <w:szCs w:val="20"/>
    </w:rPr>
  </w:style>
  <w:style w:type="paragraph" w:customStyle="1" w:styleId="38">
    <w:name w:val="Char"/>
    <w:basedOn w:val="1"/>
    <w:qFormat/>
    <w:uiPriority w:val="0"/>
    <w:rPr>
      <w:rFonts w:ascii="FangSong_GB2312" w:eastAsia="FangSong_GB2312"/>
      <w:b/>
      <w:sz w:val="32"/>
      <w:szCs w:val="32"/>
    </w:rPr>
  </w:style>
  <w:style w:type="paragraph" w:customStyle="1" w:styleId="39">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0">
    <w:name w:val="apple-converted-space"/>
    <w:basedOn w:val="20"/>
    <w:qFormat/>
    <w:uiPriority w:val="0"/>
  </w:style>
  <w:style w:type="character" w:customStyle="1" w:styleId="41">
    <w:name w:val="正文文本 Char"/>
    <w:basedOn w:val="20"/>
    <w:link w:val="6"/>
    <w:qFormat/>
    <w:uiPriority w:val="0"/>
    <w:rPr>
      <w:rFonts w:ascii="Times New Roman" w:hAnsi="Times New Roman" w:eastAsia="宋体" w:cs="Times New Roman"/>
      <w:szCs w:val="20"/>
    </w:rPr>
  </w:style>
  <w:style w:type="paragraph" w:customStyle="1" w:styleId="42">
    <w:name w:val="列出段落1"/>
    <w:basedOn w:val="1"/>
    <w:qFormat/>
    <w:uiPriority w:val="0"/>
    <w:pPr>
      <w:widowControl/>
      <w:ind w:left="720"/>
      <w:contextualSpacing/>
      <w:jc w:val="left"/>
    </w:pPr>
    <w:rPr>
      <w:rFonts w:ascii="Calibri" w:hAnsi="Calibri"/>
      <w:kern w:val="0"/>
      <w:sz w:val="24"/>
      <w:szCs w:val="24"/>
    </w:rPr>
  </w:style>
  <w:style w:type="paragraph" w:customStyle="1" w:styleId="43">
    <w:name w:val="Char Char Char Char Char Char Char"/>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74E711-44A0-4777-BF2C-268FBCF7309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28</Pages>
  <Words>1629</Words>
  <Characters>9289</Characters>
  <Lines>77</Lines>
  <Paragraphs>21</Paragraphs>
  <TotalTime>21</TotalTime>
  <ScaleCrop>false</ScaleCrop>
  <LinksUpToDate>false</LinksUpToDate>
  <CharactersWithSpaces>10897</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2018-12-28T07:44:00Z</dcterms:created>
  <dc:creator>NTKO</dc:creator>
  <cp:lastModifiedBy>Administrator</cp:lastModifiedBy>
  <dcterms:modified xsi:type="dcterms:W3CDTF">2019-04-11T01:38:42Z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