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茶叶</w:t>
      </w:r>
      <w:r>
        <w:rPr>
          <w:rFonts w:hint="eastAsia" w:eastAsia="黑体"/>
          <w:b/>
          <w:bCs/>
          <w:sz w:val="32"/>
        </w:rPr>
        <w:t>采购项目</w:t>
      </w:r>
    </w:p>
    <w:p>
      <w:pPr>
        <w:spacing w:line="480" w:lineRule="auto"/>
        <w:rPr>
          <w:rFonts w:eastAsia="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rPr>
      </w:pPr>
      <w:r>
        <w:rPr>
          <w:rFonts w:hint="eastAsia" w:eastAsia="黑体"/>
          <w:b/>
          <w:bCs/>
          <w:color w:val="auto"/>
          <w:sz w:val="32"/>
        </w:rPr>
        <w:t>项目编号：</w:t>
      </w:r>
      <w:r>
        <w:rPr>
          <w:rFonts w:hint="default" w:eastAsia="黑体"/>
          <w:b/>
          <w:bCs/>
          <w:color w:val="auto"/>
          <w:sz w:val="32"/>
          <w:lang w:val="en-US"/>
        </w:rPr>
        <w:t>YN2019-014</w:t>
      </w:r>
    </w:p>
    <w:p>
      <w:pPr>
        <w:spacing w:line="480" w:lineRule="auto"/>
        <w:rPr>
          <w:rFonts w:asciiTheme="minorEastAsia" w:hAnsiTheme="minorEastAsia" w:eastAsiaTheme="minorEastAsia"/>
          <w:sz w:val="48"/>
        </w:rPr>
      </w:pPr>
      <w:bookmarkStart w:id="38" w:name="_GoBack"/>
      <w:bookmarkEnd w:id="38"/>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w:t>
      </w:r>
      <w:r>
        <w:rPr>
          <w:rFonts w:hint="eastAsia" w:eastAsia="黑体"/>
          <w:b/>
          <w:bCs/>
          <w:color w:val="auto"/>
          <w:sz w:val="32"/>
        </w:rPr>
        <w:t>0一九年</w:t>
      </w:r>
      <w:r>
        <w:rPr>
          <w:rFonts w:hint="eastAsia" w:eastAsia="黑体"/>
          <w:b/>
          <w:bCs/>
          <w:color w:val="auto"/>
          <w:sz w:val="32"/>
          <w:lang w:val="en-US" w:eastAsia="zh-CN"/>
        </w:rPr>
        <w:t>四</w:t>
      </w:r>
      <w:r>
        <w:rPr>
          <w:rFonts w:hint="eastAsia" w:eastAsia="黑体"/>
          <w:b/>
          <w:bCs/>
          <w:color w:val="auto"/>
          <w:sz w:val="32"/>
        </w:rPr>
        <w:t>月</w:t>
      </w:r>
      <w:r>
        <w:rPr>
          <w:rFonts w:hint="eastAsia" w:eastAsia="黑体"/>
          <w:b/>
          <w:bCs/>
          <w:color w:val="auto"/>
          <w:sz w:val="32"/>
          <w:lang w:eastAsia="zh-CN"/>
        </w:rPr>
        <w:t>二十八</w:t>
      </w:r>
      <w:r>
        <w:rPr>
          <w:rFonts w:hint="eastAsia" w:eastAsia="黑体"/>
          <w:b/>
          <w:bCs/>
          <w:color w:val="auto"/>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Borders>
            <w:top w:val="none" w:sz="0" w:space="0"/>
            <w:left w:val="none" w:sz="0" w:space="0"/>
            <w:bottom w:val="none" w:sz="0" w:space="0"/>
            <w:right w:val="none" w:sz="0" w:space="0"/>
          </w:pgBorders>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ind w:firstLine="600" w:firstLineChars="200"/>
        <w:rPr>
          <w:rFonts w:ascii="宋体" w:hAnsi="宋体" w:cs="宋体"/>
          <w:sz w:val="30"/>
          <w:szCs w:val="30"/>
        </w:rPr>
      </w:pPr>
      <w:r>
        <w:rPr>
          <w:rFonts w:hint="eastAsia" w:ascii="宋体" w:hAnsi="宋体" w:cs="宋体"/>
          <w:sz w:val="30"/>
          <w:szCs w:val="30"/>
        </w:rPr>
        <w:t>赣州市人民</w:t>
      </w:r>
      <w:r>
        <w:rPr>
          <w:rFonts w:hint="eastAsia" w:ascii="宋体" w:hAnsi="宋体" w:eastAsia="宋体" w:cs="宋体"/>
          <w:b w:val="0"/>
          <w:bCs w:val="0"/>
          <w:sz w:val="30"/>
          <w:szCs w:val="30"/>
        </w:rPr>
        <w:t>医院近期将对</w:t>
      </w:r>
      <w:r>
        <w:rPr>
          <w:rFonts w:hint="eastAsia" w:ascii="宋体" w:hAnsi="宋体" w:eastAsia="宋体" w:cs="宋体"/>
          <w:b w:val="0"/>
          <w:bCs w:val="0"/>
          <w:sz w:val="30"/>
          <w:szCs w:val="30"/>
          <w:lang w:eastAsia="zh-CN"/>
        </w:rPr>
        <w:t>茶叶</w:t>
      </w:r>
      <w:r>
        <w:rPr>
          <w:rFonts w:hint="eastAsia" w:ascii="宋体" w:hAnsi="宋体" w:eastAsia="宋体" w:cs="宋体"/>
          <w:b w:val="0"/>
          <w:bCs w:val="0"/>
          <w:sz w:val="30"/>
          <w:szCs w:val="30"/>
        </w:rPr>
        <w:t>采购项目进行</w:t>
      </w:r>
      <w:r>
        <w:rPr>
          <w:rFonts w:hint="eastAsia" w:ascii="宋体" w:hAnsi="宋体" w:cs="宋体"/>
          <w:sz w:val="30"/>
          <w:szCs w:val="30"/>
        </w:rPr>
        <w:t>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14</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绿茶</w:t>
            </w:r>
          </w:p>
        </w:tc>
        <w:tc>
          <w:tcPr>
            <w:tcW w:w="78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160</w:t>
            </w:r>
          </w:p>
        </w:tc>
        <w:tc>
          <w:tcPr>
            <w:tcW w:w="82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斤</w:t>
            </w:r>
          </w:p>
        </w:tc>
        <w:tc>
          <w:tcPr>
            <w:tcW w:w="4232"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清明节前绿茶,特级</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口感:清鲜回甘</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形状:片状</w:t>
            </w:r>
          </w:p>
        </w:tc>
        <w:tc>
          <w:tcPr>
            <w:tcW w:w="179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红茶</w:t>
            </w:r>
          </w:p>
        </w:tc>
        <w:tc>
          <w:tcPr>
            <w:tcW w:w="78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tabs>
                <w:tab w:val="left" w:pos="90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70</w:t>
            </w:r>
          </w:p>
        </w:tc>
        <w:tc>
          <w:tcPr>
            <w:tcW w:w="82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cs="宋体"/>
                <w:kern w:val="2"/>
                <w:sz w:val="30"/>
                <w:szCs w:val="30"/>
                <w:lang w:val="en-US" w:eastAsia="zh-CN" w:bidi="ar-SA"/>
              </w:rPr>
              <w:t>斤</w:t>
            </w:r>
          </w:p>
        </w:tc>
        <w:tc>
          <w:tcPr>
            <w:tcW w:w="4232"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特级</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口感:香气深沉</w:t>
            </w:r>
          </w:p>
        </w:tc>
        <w:tc>
          <w:tcPr>
            <w:tcW w:w="179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21000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3</w:t>
      </w:r>
      <w:r>
        <w:rPr>
          <w:rFonts w:hint="eastAsia"/>
          <w:kern w:val="2"/>
          <w:sz w:val="30"/>
          <w:szCs w:val="30"/>
        </w:rPr>
        <w:t>、有依法缴纳税收和社会保障资金的良好记录（纳税证明和社保证明）。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28</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29</w:t>
      </w:r>
      <w:r>
        <w:rPr>
          <w:rFonts w:hint="eastAsia"/>
          <w:kern w:val="2"/>
          <w:sz w:val="30"/>
          <w:szCs w:val="30"/>
          <w:highlight w:val="yellow"/>
        </w:rPr>
        <w:t>日至2019年0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05</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5</w:t>
      </w:r>
      <w:r>
        <w:rPr>
          <w:rFonts w:hint="eastAsia"/>
          <w:kern w:val="2"/>
          <w:sz w:val="30"/>
          <w:szCs w:val="30"/>
          <w:highlight w:val="yellow"/>
        </w:rPr>
        <w:t>月</w:t>
      </w:r>
      <w:r>
        <w:rPr>
          <w:rFonts w:hint="eastAsia"/>
          <w:kern w:val="2"/>
          <w:sz w:val="30"/>
          <w:szCs w:val="30"/>
          <w:highlight w:val="yellow"/>
          <w:lang w:val="en-US" w:eastAsia="zh-CN"/>
        </w:rPr>
        <w:t>07</w:t>
      </w:r>
      <w:r>
        <w:rPr>
          <w:rFonts w:hint="eastAsia"/>
          <w:kern w:val="2"/>
          <w:sz w:val="30"/>
          <w:szCs w:val="30"/>
          <w:highlight w:val="yellow"/>
        </w:rPr>
        <w:t>日</w:t>
      </w:r>
      <w:r>
        <w:rPr>
          <w:rFonts w:hint="eastAsia"/>
          <w:kern w:val="2"/>
          <w:sz w:val="30"/>
          <w:szCs w:val="30"/>
        </w:rPr>
        <w:t>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2" w:firstLineChars="200"/>
        <w:jc w:val="both"/>
        <w:textAlignment w:val="auto"/>
        <w:rPr>
          <w:color w:val="auto"/>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eastAsia="zh-CN"/>
        </w:rPr>
        <w:t>壹仟叁佰捌拾</w:t>
      </w:r>
      <w:r>
        <w:rPr>
          <w:rFonts w:hint="eastAsia"/>
          <w:kern w:val="2"/>
          <w:sz w:val="30"/>
          <w:szCs w:val="30"/>
          <w:highlight w:val="yellow"/>
        </w:rPr>
        <w:t>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w:t>
      </w:r>
      <w:r>
        <w:rPr>
          <w:rFonts w:hint="eastAsia"/>
          <w:color w:val="auto"/>
          <w:kern w:val="2"/>
          <w:sz w:val="30"/>
          <w:szCs w:val="30"/>
        </w:rPr>
        <w:t>验收合格后</w:t>
      </w:r>
      <w:r>
        <w:rPr>
          <w:rFonts w:hint="eastAsia"/>
          <w:color w:val="auto"/>
          <w:kern w:val="2"/>
          <w:sz w:val="30"/>
          <w:szCs w:val="30"/>
          <w:highlight w:val="none"/>
        </w:rPr>
        <w:t>一次性无息退还。</w:t>
      </w:r>
    </w:p>
    <w:p>
      <w:pPr>
        <w:keepNext w:val="0"/>
        <w:keepLines w:val="0"/>
        <w:pageBreakBefore w:val="0"/>
        <w:kinsoku/>
        <w:wordWrap/>
        <w:overflowPunct/>
        <w:topLinePunct w:val="0"/>
        <w:autoSpaceDE/>
        <w:autoSpaceDN/>
        <w:bidi w:val="0"/>
        <w:adjustRightInd/>
        <w:snapToGrid/>
        <w:spacing w:line="460" w:lineRule="exact"/>
        <w:ind w:firstLine="602" w:firstLineChars="200"/>
        <w:textAlignment w:val="auto"/>
        <w:rPr>
          <w:rFonts w:hint="eastAsia" w:ascii="宋体" w:hAnsi="宋体" w:eastAsia="宋体" w:cs="宋体"/>
          <w:color w:val="000000"/>
          <w:kern w:val="2"/>
          <w:sz w:val="30"/>
          <w:szCs w:val="30"/>
          <w:lang w:val="en-US" w:eastAsia="zh-CN" w:bidi="ar-SA"/>
        </w:rPr>
      </w:pPr>
      <w:r>
        <w:rPr>
          <w:rFonts w:hint="eastAsia"/>
          <w:b/>
          <w:bCs/>
          <w:kern w:val="2"/>
          <w:sz w:val="30"/>
          <w:szCs w:val="30"/>
        </w:rPr>
        <w:t>（十）付款方法：</w:t>
      </w:r>
      <w:r>
        <w:rPr>
          <w:rFonts w:hint="eastAsia" w:ascii="宋体" w:hAnsi="宋体" w:eastAsia="宋体" w:cs="宋体"/>
          <w:color w:val="000000"/>
          <w:kern w:val="2"/>
          <w:sz w:val="30"/>
          <w:szCs w:val="30"/>
          <w:lang w:val="en-US" w:eastAsia="zh-CN" w:bidi="ar-SA"/>
        </w:rPr>
        <w:t>半年结算一次，供货验收合格且收到供货商提供的合法税务发票后两个月内以转账方式支付货款。按实际购买结算，不计付利息。</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2" w:firstLineChars="200"/>
        <w:jc w:val="both"/>
        <w:textAlignment w:val="auto"/>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2" w:firstLineChars="200"/>
        <w:jc w:val="both"/>
        <w:textAlignment w:val="auto"/>
        <w:rPr>
          <w:b/>
          <w:bCs/>
          <w:kern w:val="2"/>
          <w:sz w:val="30"/>
          <w:szCs w:val="30"/>
        </w:rPr>
      </w:pPr>
      <w:r>
        <w:rPr>
          <w:rFonts w:hint="eastAsia"/>
          <w:b/>
          <w:bCs/>
          <w:kern w:val="2"/>
          <w:sz w:val="30"/>
          <w:szCs w:val="30"/>
        </w:rPr>
        <w:t>（十二）联系方法：</w:t>
      </w:r>
    </w:p>
    <w:p>
      <w:pPr>
        <w:pStyle w:val="16"/>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4、本项目为交钥匙项目，报价内容包含谈判文件规定的完成相关货物及服务所需的设备、人员、培训、技术支持、税费等一切相关费用，除成交金额外不另增加任何费用。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rFonts w:hint="eastAsia"/>
          <w:color w:val="auto"/>
          <w:kern w:val="2"/>
          <w:sz w:val="30"/>
          <w:szCs w:val="30"/>
          <w:lang w:val="en-US" w:eastAsia="zh-CN"/>
        </w:rPr>
      </w:pPr>
      <w:r>
        <w:rPr>
          <w:rFonts w:hint="eastAsia"/>
          <w:kern w:val="2"/>
          <w:sz w:val="30"/>
          <w:szCs w:val="30"/>
        </w:rPr>
        <w:t>5、交货期：卖方应在《中标通知书》规定的时间内和买方签订正式合同，并在合同签订之日</w:t>
      </w:r>
      <w:r>
        <w:rPr>
          <w:rFonts w:hint="eastAsia"/>
          <w:kern w:val="2"/>
          <w:sz w:val="30"/>
          <w:szCs w:val="30"/>
          <w:lang w:eastAsia="zh-CN"/>
        </w:rPr>
        <w:t>后，</w:t>
      </w:r>
      <w:r>
        <w:rPr>
          <w:rFonts w:hint="eastAsia"/>
          <w:color w:val="auto"/>
          <w:kern w:val="2"/>
          <w:sz w:val="30"/>
          <w:szCs w:val="30"/>
          <w:lang w:val="en-US" w:eastAsia="zh-CN"/>
        </w:rPr>
        <w:t>接采购人电话通知三日内按需供货，服务期一年。</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7、产品参数要求:</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绿茶</w:t>
            </w:r>
          </w:p>
        </w:tc>
        <w:tc>
          <w:tcPr>
            <w:tcW w:w="78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160</w:t>
            </w:r>
          </w:p>
        </w:tc>
        <w:tc>
          <w:tcPr>
            <w:tcW w:w="82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斤</w:t>
            </w:r>
          </w:p>
        </w:tc>
        <w:tc>
          <w:tcPr>
            <w:tcW w:w="4232"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清明节前绿茶,特级</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口感:清鲜回甘</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形状:片状</w:t>
            </w:r>
          </w:p>
        </w:tc>
        <w:tc>
          <w:tcPr>
            <w:tcW w:w="179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红茶</w:t>
            </w:r>
          </w:p>
        </w:tc>
        <w:tc>
          <w:tcPr>
            <w:tcW w:w="78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tabs>
                <w:tab w:val="left" w:pos="90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70</w:t>
            </w:r>
          </w:p>
        </w:tc>
        <w:tc>
          <w:tcPr>
            <w:tcW w:w="82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kern w:val="2"/>
                <w:sz w:val="30"/>
                <w:szCs w:val="30"/>
                <w:lang w:val="en-US" w:eastAsia="zh-CN" w:bidi="ar-SA"/>
              </w:rPr>
            </w:pPr>
            <w:r>
              <w:rPr>
                <w:rFonts w:hint="eastAsia" w:cs="宋体"/>
                <w:kern w:val="2"/>
                <w:sz w:val="30"/>
                <w:szCs w:val="30"/>
                <w:lang w:val="en-US" w:eastAsia="zh-CN" w:bidi="ar-SA"/>
              </w:rPr>
              <w:t>斤</w:t>
            </w:r>
          </w:p>
        </w:tc>
        <w:tc>
          <w:tcPr>
            <w:tcW w:w="4232"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特级</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口感:香气深沉</w:t>
            </w:r>
          </w:p>
        </w:tc>
        <w:tc>
          <w:tcPr>
            <w:tcW w:w="1797"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tabs>
                <w:tab w:val="left" w:pos="900"/>
              </w:tabs>
              <w:spacing w:line="440" w:lineRule="exact"/>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21000</w:t>
            </w:r>
          </w:p>
        </w:tc>
      </w:tr>
    </w:tbl>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eastAsia="zh-CN"/>
        </w:rPr>
        <w:t>保质</w:t>
      </w:r>
      <w:r>
        <w:rPr>
          <w:rFonts w:hint="eastAsia"/>
          <w:kern w:val="2"/>
          <w:sz w:val="30"/>
          <w:szCs w:val="30"/>
        </w:rPr>
        <w:t>期自验</w:t>
      </w:r>
      <w:r>
        <w:rPr>
          <w:rFonts w:hint="eastAsia"/>
          <w:color w:val="auto"/>
          <w:kern w:val="2"/>
          <w:sz w:val="30"/>
          <w:szCs w:val="30"/>
        </w:rPr>
        <w:t>收合格之日起不得少于</w:t>
      </w:r>
      <w:r>
        <w:rPr>
          <w:rFonts w:hint="eastAsia"/>
          <w:b/>
          <w:bCs/>
          <w:color w:val="auto"/>
          <w:kern w:val="2"/>
          <w:sz w:val="30"/>
          <w:szCs w:val="30"/>
          <w:lang w:val="en-US" w:eastAsia="zh-CN"/>
        </w:rPr>
        <w:t>12</w:t>
      </w:r>
      <w:r>
        <w:rPr>
          <w:rFonts w:hint="eastAsia"/>
          <w:color w:val="auto"/>
          <w:kern w:val="2"/>
          <w:sz w:val="30"/>
          <w:szCs w:val="30"/>
        </w:rPr>
        <w:t>个月。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color w:val="auto"/>
          <w:kern w:val="2"/>
          <w:sz w:val="30"/>
          <w:szCs w:val="30"/>
        </w:rPr>
        <w:t>9.1如果卖方没有按照合同规定的时间交货和提供服务，买方可从货款中扣除违约赔偿费，赔偿费应按每迟交一周，按合同总价的1%计收。但违约赔偿费的最高限额为合同总价的10%。一周按7天计算，不足7天按一周计算。如果卖方在达到最高限额后仍不能交货，买方可单方面终止合同。</w:t>
      </w:r>
    </w:p>
    <w:p>
      <w:pPr>
        <w:pStyle w:val="16"/>
        <w:numPr>
          <w:ilvl w:val="0"/>
          <w:numId w:val="1"/>
        </w:numPr>
        <w:spacing w:before="0" w:beforeAutospacing="0" w:after="0" w:afterAutospacing="0" w:line="460" w:lineRule="exact"/>
        <w:ind w:firstLine="600" w:firstLineChars="200"/>
        <w:jc w:val="both"/>
        <w:rPr>
          <w:rFonts w:hint="eastAsia"/>
          <w:color w:val="FF0000"/>
          <w:kern w:val="2"/>
          <w:sz w:val="30"/>
          <w:szCs w:val="30"/>
          <w:lang w:val="en-US" w:eastAsia="zh-CN"/>
        </w:rPr>
      </w:pPr>
      <w:r>
        <w:rPr>
          <w:rFonts w:hint="eastAsia"/>
          <w:color w:val="FF0000"/>
          <w:kern w:val="2"/>
          <w:sz w:val="30"/>
          <w:szCs w:val="30"/>
          <w:lang w:val="en-US" w:eastAsia="zh-CN"/>
        </w:rPr>
        <w:t>其他要求：</w:t>
      </w:r>
    </w:p>
    <w:p>
      <w:pPr>
        <w:pStyle w:val="16"/>
        <w:numPr>
          <w:ilvl w:val="0"/>
          <w:numId w:val="0"/>
        </w:numPr>
        <w:spacing w:before="0" w:beforeAutospacing="0" w:after="0" w:afterAutospacing="0" w:line="460" w:lineRule="exact"/>
        <w:ind w:firstLine="600"/>
        <w:jc w:val="both"/>
        <w:rPr>
          <w:rFonts w:hint="eastAsia"/>
          <w:color w:val="FF0000"/>
          <w:kern w:val="2"/>
          <w:sz w:val="30"/>
          <w:szCs w:val="30"/>
          <w:lang w:val="en-US" w:eastAsia="zh-CN"/>
        </w:rPr>
      </w:pPr>
      <w:r>
        <w:rPr>
          <w:rFonts w:hint="eastAsia"/>
          <w:color w:val="FF0000"/>
          <w:kern w:val="2"/>
          <w:sz w:val="30"/>
          <w:szCs w:val="30"/>
          <w:lang w:val="en-US" w:eastAsia="zh-CN"/>
        </w:rPr>
        <w:t>本项目投标人须在投标时提供样品各5份。</w:t>
      </w:r>
    </w:p>
    <w:p>
      <w:pPr>
        <w:pStyle w:val="16"/>
        <w:numPr>
          <w:ilvl w:val="0"/>
          <w:numId w:val="0"/>
        </w:numPr>
        <w:spacing w:before="0" w:beforeAutospacing="0" w:after="0" w:afterAutospacing="0" w:line="460" w:lineRule="exact"/>
        <w:ind w:firstLine="600"/>
        <w:jc w:val="both"/>
        <w:rPr>
          <w:rFonts w:hint="eastAsia"/>
          <w:color w:val="auto"/>
          <w:kern w:val="2"/>
          <w:sz w:val="30"/>
          <w:szCs w:val="30"/>
          <w:lang w:val="en-US" w:eastAsia="zh-CN"/>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 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highlight w:val="yellow"/>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69000</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w:t>
      </w:r>
      <w:r>
        <w:rPr>
          <w:rFonts w:hint="eastAsia" w:ascii="宋体" w:hAnsi="宋体" w:eastAsia="宋体" w:cs="宋体"/>
          <w:b/>
          <w:bCs/>
          <w:kern w:val="2"/>
          <w:sz w:val="30"/>
          <w:szCs w:val="30"/>
        </w:rPr>
        <w:t>；</w:t>
      </w:r>
      <w:r>
        <w:rPr>
          <w:rFonts w:hint="eastAsia" w:ascii="宋体" w:hAnsi="宋体" w:eastAsia="宋体" w:cs="宋体"/>
          <w:b/>
          <w:bCs/>
          <w:sz w:val="30"/>
          <w:szCs w:val="30"/>
          <w:highlight w:val="yellow"/>
        </w:rPr>
        <w:t>经评委品尝样品合格的投标单位可以提交二次报价，</w:t>
      </w:r>
      <w:r>
        <w:rPr>
          <w:rFonts w:hint="eastAsia" w:ascii="宋体" w:hAnsi="宋体" w:eastAsia="宋体" w:cs="宋体"/>
          <w:b/>
          <w:bCs/>
          <w:kern w:val="2"/>
          <w:sz w:val="30"/>
          <w:szCs w:val="30"/>
        </w:rPr>
        <w:t>开标现场报价时所提交</w:t>
      </w:r>
      <w:r>
        <w:rPr>
          <w:rFonts w:hint="eastAsia"/>
          <w:b/>
          <w:bCs/>
          <w:kern w:val="2"/>
          <w:sz w:val="30"/>
          <w:szCs w:val="30"/>
        </w:rPr>
        <w:t>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US" w:eastAsia="zh-CN"/>
        </w:rPr>
        <w:t>6</w:t>
      </w:r>
      <w:r>
        <w:rPr>
          <w:rFonts w:hint="eastAsia"/>
          <w:kern w:val="2"/>
          <w:sz w:val="30"/>
          <w:szCs w:val="30"/>
        </w:rPr>
        <w:t>）</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7</w:t>
      </w:r>
      <w:r>
        <w:rPr>
          <w:rFonts w:hint="eastAsia"/>
          <w:kern w:val="2"/>
          <w:sz w:val="30"/>
          <w:szCs w:val="30"/>
        </w:rPr>
        <w:t>）首次报价超过了采购项目预算或最高限价的；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US" w:eastAsia="zh-CN"/>
        </w:rPr>
        <w:t>8</w:t>
      </w:r>
      <w:r>
        <w:rPr>
          <w:rFonts w:hint="eastAsia"/>
          <w:kern w:val="2"/>
          <w:sz w:val="30"/>
          <w:szCs w:val="30"/>
        </w:rPr>
        <w:t>）谈判文件规定的其他响应无效条款。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kern w:val="2"/>
          <w:sz w:val="30"/>
          <w:szCs w:val="30"/>
          <w:highlight w:val="yellow"/>
          <w:lang w:val="en-GB" w:eastAsia="zh-CN"/>
        </w:rPr>
        <w:t>抽签</w:t>
      </w:r>
      <w:r>
        <w:rPr>
          <w:rFonts w:hint="eastAsia"/>
          <w:kern w:val="2"/>
          <w:sz w:val="30"/>
          <w:szCs w:val="30"/>
          <w:highlight w:val="yellow"/>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445715221"/>
      <w:bookmarkStart w:id="17" w:name="_Toc28675834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5、付款方式： </w:t>
      </w:r>
      <w:r>
        <w:rPr>
          <w:rFonts w:hint="eastAsia" w:ascii="仿宋_GB2312" w:hAnsi="仿宋_GB2312" w:eastAsia="仿宋_GB2312" w:cs="仿宋_GB2312"/>
          <w:sz w:val="28"/>
          <w:szCs w:val="28"/>
          <w:lang w:val="en-US" w:eastAsia="zh-CN"/>
        </w:rPr>
        <w:t>半年结算一次，供货验收合格且收到供货商提供的合法税务发票后两个月内以转账方式支付货款。按实际购买结算，不计付利息。</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6.1</w:t>
      </w:r>
      <w:r>
        <w:rPr>
          <w:rFonts w:hint="eastAsia" w:ascii="仿宋_GB2312" w:hAnsi="仿宋_GB2312" w:eastAsia="仿宋_GB2312" w:cs="仿宋_GB2312"/>
          <w:kern w:val="2"/>
          <w:sz w:val="28"/>
          <w:szCs w:val="28"/>
          <w:lang w:val="en-US" w:eastAsia="zh-CN" w:bidi="ar-SA"/>
        </w:rPr>
        <w:t>在合同签订之日后，接采购人电话通知三日内按需供货，服务期一年。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pStyle w:val="16"/>
        <w:spacing w:before="0" w:beforeAutospacing="0" w:after="0" w:afterAutospacing="0" w:line="460" w:lineRule="exact"/>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、售后服务：</w:t>
      </w:r>
      <w:r>
        <w:rPr>
          <w:rFonts w:hint="eastAsia" w:ascii="仿宋_GB2312" w:hAnsi="仿宋_GB2312" w:eastAsia="仿宋_GB2312" w:cs="仿宋_GB2312"/>
          <w:color w:val="auto"/>
          <w:sz w:val="28"/>
          <w:szCs w:val="28"/>
          <w:lang w:eastAsia="zh-CN"/>
        </w:rPr>
        <w:t>服务</w:t>
      </w:r>
      <w:r>
        <w:rPr>
          <w:rFonts w:hint="eastAsia" w:ascii="仿宋_GB2312" w:hAnsi="仿宋_GB2312" w:eastAsia="仿宋_GB2312" w:cs="仿宋_GB2312"/>
          <w:color w:val="auto"/>
          <w:sz w:val="28"/>
          <w:szCs w:val="28"/>
        </w:rPr>
        <w:t>期内对达不到质量要求者，</w:t>
      </w:r>
      <w:r>
        <w:rPr>
          <w:rFonts w:hint="eastAsia" w:ascii="仿宋_GB2312" w:hAnsi="仿宋_GB2312" w:eastAsia="仿宋_GB2312" w:cs="仿宋_GB2312"/>
          <w:color w:val="auto"/>
          <w:sz w:val="28"/>
          <w:szCs w:val="28"/>
          <w:u w:val="single"/>
          <w:lang w:val="en-US" w:eastAsia="zh-CN"/>
        </w:rPr>
        <w:t>12</w:t>
      </w:r>
      <w:r>
        <w:rPr>
          <w:rFonts w:hint="eastAsia" w:ascii="仿宋_GB2312" w:hAnsi="仿宋_GB2312" w:eastAsia="仿宋_GB2312" w:cs="仿宋_GB2312"/>
          <w:color w:val="auto"/>
          <w:sz w:val="28"/>
          <w:szCs w:val="28"/>
        </w:rPr>
        <w:t>小时内到达现场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免费更换或退货处理</w:t>
      </w:r>
      <w:r>
        <w:rPr>
          <w:rFonts w:hint="eastAsia" w:ascii="仿宋_GB2312" w:hAnsi="仿宋_GB2312" w:eastAsia="仿宋_GB2312" w:cs="仿宋_GB2312"/>
          <w:color w:val="auto"/>
          <w:sz w:val="28"/>
          <w:szCs w:val="28"/>
          <w:lang w:eastAsia="zh-CN"/>
        </w:rPr>
        <w:t>。</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9、考核条款：每次供货提产品若不符合招标要求，视为未按</w:t>
      </w:r>
      <w:r>
        <w:rPr>
          <w:rFonts w:hint="eastAsia" w:ascii="仿宋_GB2312" w:hAnsi="仿宋_GB2312" w:eastAsia="仿宋_GB2312" w:cs="仿宋_GB2312"/>
          <w:sz w:val="28"/>
          <w:szCs w:val="28"/>
        </w:rPr>
        <w:t>合同规定的时间交货和提供服务</w:t>
      </w:r>
      <w:r>
        <w:rPr>
          <w:rFonts w:hint="eastAsia" w:ascii="仿宋_GB2312" w:hAnsi="仿宋_GB2312" w:eastAsia="仿宋_GB2312" w:cs="仿宋_GB2312"/>
          <w:sz w:val="28"/>
          <w:szCs w:val="28"/>
          <w:lang w:eastAsia="zh-CN"/>
        </w:rPr>
        <w:t>，扣罚参考本合同条款</w:t>
      </w:r>
      <w:r>
        <w:rPr>
          <w:rFonts w:hint="eastAsia" w:ascii="仿宋_GB2312" w:hAnsi="仿宋_GB2312" w:eastAsia="仿宋_GB2312" w:cs="仿宋_GB2312"/>
          <w:sz w:val="28"/>
          <w:szCs w:val="28"/>
          <w:lang w:val="en-US" w:eastAsia="zh-CN"/>
        </w:rPr>
        <w:t>8。</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、其他约定：</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.1乙方按合同金额的10%标准（即**元）向甲方缴纳本项目的履约保证金，产品供齐货，安装调试完毕，且验收合格后无质量问题一次性不计息退还。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电话：0797-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传真：0797-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Borders>
            <w:top w:val="none" w:sz="0" w:space="0"/>
            <w:left w:val="none" w:sz="0" w:space="0"/>
            <w:bottom w:val="none" w:sz="0" w:space="0"/>
            <w:right w:val="none" w:sz="0" w:space="0"/>
          </w:pgBorders>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Borders>
            <w:top w:val="none" w:sz="0" w:space="0"/>
            <w:left w:val="none" w:sz="0" w:space="0"/>
            <w:bottom w:val="none" w:sz="0" w:space="0"/>
            <w:right w:val="none" w:sz="0" w:space="0"/>
          </w:pgBorders>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Borders>
            <w:top w:val="none" w:sz="0" w:space="0"/>
            <w:left w:val="none" w:sz="0" w:space="0"/>
            <w:bottom w:val="none" w:sz="0" w:space="0"/>
            <w:right w:val="none" w:sz="0" w:space="0"/>
          </w:pgBorders>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Borders>
            <w:top w:val="none" w:sz="0" w:space="0"/>
            <w:left w:val="none" w:sz="0" w:space="0"/>
            <w:bottom w:val="none" w:sz="0" w:space="0"/>
            <w:right w:val="none" w:sz="0" w:space="0"/>
          </w:pgBorders>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Borders>
            <w:top w:val="none" w:sz="0" w:space="0"/>
            <w:left w:val="none" w:sz="0" w:space="0"/>
            <w:bottom w:val="none" w:sz="0" w:space="0"/>
            <w:right w:val="none" w:sz="0" w:space="0"/>
          </w:pgBorders>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Borders>
            <w:top w:val="none" w:sz="0" w:space="0"/>
            <w:left w:val="none" w:sz="0" w:space="0"/>
            <w:bottom w:val="none" w:sz="0" w:space="0"/>
            <w:right w:val="none" w:sz="0" w:space="0"/>
          </w:pgBorders>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1BEE"/>
    <w:multiLevelType w:val="singleLevel"/>
    <w:tmpl w:val="127C1BEE"/>
    <w:lvl w:ilvl="0" w:tentative="0">
      <w:start w:val="10"/>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63092"/>
    <w:rsid w:val="00CE5392"/>
    <w:rsid w:val="00E113B0"/>
    <w:rsid w:val="00E20092"/>
    <w:rsid w:val="00E87C1E"/>
    <w:rsid w:val="00F138FE"/>
    <w:rsid w:val="00F204CC"/>
    <w:rsid w:val="00F66CFE"/>
    <w:rsid w:val="00F7786A"/>
    <w:rsid w:val="020413E9"/>
    <w:rsid w:val="02B94AA1"/>
    <w:rsid w:val="05A259F1"/>
    <w:rsid w:val="06142990"/>
    <w:rsid w:val="06434357"/>
    <w:rsid w:val="08047DDC"/>
    <w:rsid w:val="08CC0194"/>
    <w:rsid w:val="095A33F1"/>
    <w:rsid w:val="0D8543D8"/>
    <w:rsid w:val="0DBF66E3"/>
    <w:rsid w:val="0DD17EEB"/>
    <w:rsid w:val="0E161F02"/>
    <w:rsid w:val="0E71198A"/>
    <w:rsid w:val="10BF671D"/>
    <w:rsid w:val="11A4561D"/>
    <w:rsid w:val="11CE3A15"/>
    <w:rsid w:val="136F081D"/>
    <w:rsid w:val="14A551DA"/>
    <w:rsid w:val="14BC5661"/>
    <w:rsid w:val="173B18E8"/>
    <w:rsid w:val="180F2F53"/>
    <w:rsid w:val="185F2E14"/>
    <w:rsid w:val="1886469D"/>
    <w:rsid w:val="1967240D"/>
    <w:rsid w:val="1B4E4BED"/>
    <w:rsid w:val="1CE11745"/>
    <w:rsid w:val="1CFB4789"/>
    <w:rsid w:val="21152A38"/>
    <w:rsid w:val="21B40E5C"/>
    <w:rsid w:val="24326DF1"/>
    <w:rsid w:val="24D32CFB"/>
    <w:rsid w:val="2787664C"/>
    <w:rsid w:val="29A84304"/>
    <w:rsid w:val="2EA451BE"/>
    <w:rsid w:val="2F0C4AC8"/>
    <w:rsid w:val="314C16FB"/>
    <w:rsid w:val="31CD1B7E"/>
    <w:rsid w:val="337C3ECF"/>
    <w:rsid w:val="341C7A57"/>
    <w:rsid w:val="350230B9"/>
    <w:rsid w:val="35A6339D"/>
    <w:rsid w:val="37285450"/>
    <w:rsid w:val="37513ABD"/>
    <w:rsid w:val="37DF52E0"/>
    <w:rsid w:val="39F13680"/>
    <w:rsid w:val="3AB07E0D"/>
    <w:rsid w:val="3B3F71B9"/>
    <w:rsid w:val="3B51250B"/>
    <w:rsid w:val="3B9619C1"/>
    <w:rsid w:val="3B9F056E"/>
    <w:rsid w:val="3BC676FF"/>
    <w:rsid w:val="3C8461D9"/>
    <w:rsid w:val="3DB86EC2"/>
    <w:rsid w:val="3E36565C"/>
    <w:rsid w:val="3F566DB0"/>
    <w:rsid w:val="40044169"/>
    <w:rsid w:val="40C479C0"/>
    <w:rsid w:val="41A9239E"/>
    <w:rsid w:val="427450A4"/>
    <w:rsid w:val="43DC2244"/>
    <w:rsid w:val="46A6371B"/>
    <w:rsid w:val="47535358"/>
    <w:rsid w:val="47B47A07"/>
    <w:rsid w:val="4A352680"/>
    <w:rsid w:val="4ABB3FBE"/>
    <w:rsid w:val="4AD203D4"/>
    <w:rsid w:val="4ADD0756"/>
    <w:rsid w:val="4CD46954"/>
    <w:rsid w:val="4D6274A8"/>
    <w:rsid w:val="4EAE2D05"/>
    <w:rsid w:val="503D110D"/>
    <w:rsid w:val="50EB3D2E"/>
    <w:rsid w:val="510B2A98"/>
    <w:rsid w:val="521D1FD3"/>
    <w:rsid w:val="55B67588"/>
    <w:rsid w:val="56B76AC6"/>
    <w:rsid w:val="573E5B90"/>
    <w:rsid w:val="589D33A8"/>
    <w:rsid w:val="59224772"/>
    <w:rsid w:val="5AD7610B"/>
    <w:rsid w:val="5AE1172E"/>
    <w:rsid w:val="5E3F0CCF"/>
    <w:rsid w:val="5EC90CDF"/>
    <w:rsid w:val="5F482BBC"/>
    <w:rsid w:val="601D6F4B"/>
    <w:rsid w:val="608B564A"/>
    <w:rsid w:val="63097FEB"/>
    <w:rsid w:val="63470076"/>
    <w:rsid w:val="637804B0"/>
    <w:rsid w:val="6381334D"/>
    <w:rsid w:val="63C74CA9"/>
    <w:rsid w:val="63D27F65"/>
    <w:rsid w:val="63FE714F"/>
    <w:rsid w:val="66305250"/>
    <w:rsid w:val="66E16C0A"/>
    <w:rsid w:val="68B72865"/>
    <w:rsid w:val="6A513CD1"/>
    <w:rsid w:val="6B915D86"/>
    <w:rsid w:val="6DB24CB6"/>
    <w:rsid w:val="6F066E31"/>
    <w:rsid w:val="70C102F8"/>
    <w:rsid w:val="7189237A"/>
    <w:rsid w:val="71B205C1"/>
    <w:rsid w:val="71C93182"/>
    <w:rsid w:val="726C34C7"/>
    <w:rsid w:val="73192E1A"/>
    <w:rsid w:val="73E877E6"/>
    <w:rsid w:val="7582390E"/>
    <w:rsid w:val="75F24E6B"/>
    <w:rsid w:val="77855D8E"/>
    <w:rsid w:val="77A607E9"/>
    <w:rsid w:val="77C43511"/>
    <w:rsid w:val="79FF63EC"/>
    <w:rsid w:val="7B4E2D2D"/>
    <w:rsid w:val="7BBD36E8"/>
    <w:rsid w:val="7C241CA4"/>
    <w:rsid w:val="7FA9656F"/>
    <w:rsid w:val="7FE33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2</TotalTime>
  <ScaleCrop>false</ScaleCrop>
  <LinksUpToDate>false</LinksUpToDate>
  <CharactersWithSpaces>10897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2019-04-28T03:55:02Z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