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消防器材</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YN2019-016</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w:t>
      </w:r>
      <w:r>
        <w:rPr>
          <w:rFonts w:hint="eastAsia" w:eastAsia="黑体"/>
          <w:b/>
          <w:bCs/>
          <w:sz w:val="32"/>
          <w:lang w:eastAsia="zh-CN"/>
        </w:rPr>
        <w:t>五</w:t>
      </w:r>
      <w:r>
        <w:rPr>
          <w:rFonts w:hint="eastAsia" w:eastAsia="黑体"/>
          <w:b/>
          <w:bCs/>
          <w:sz w:val="32"/>
        </w:rPr>
        <w:t>月</w:t>
      </w:r>
      <w:r>
        <w:rPr>
          <w:rFonts w:hint="eastAsia" w:eastAsia="黑体"/>
          <w:b/>
          <w:bCs/>
          <w:sz w:val="32"/>
          <w:lang w:eastAsia="zh-CN"/>
        </w:rPr>
        <w:t>十六</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ind w:firstLine="600" w:firstLineChars="200"/>
        <w:rPr>
          <w:rFonts w:ascii="宋体" w:hAnsi="宋体" w:cs="宋体"/>
          <w:sz w:val="30"/>
          <w:szCs w:val="30"/>
        </w:rPr>
      </w:pPr>
      <w:bookmarkStart w:id="38" w:name="_GoBack"/>
      <w:bookmarkEnd w:id="38"/>
      <w:r>
        <w:rPr>
          <w:rFonts w:hint="eastAsia" w:ascii="宋体" w:hAnsi="宋体" w:cs="宋体"/>
          <w:sz w:val="30"/>
          <w:szCs w:val="30"/>
        </w:rPr>
        <w:t>赣州市人民医院近期将</w:t>
      </w:r>
      <w:r>
        <w:rPr>
          <w:rFonts w:hint="eastAsia" w:ascii="宋体" w:hAnsi="宋体" w:eastAsia="宋体" w:cs="宋体"/>
          <w:b w:val="0"/>
          <w:bCs w:val="0"/>
          <w:sz w:val="30"/>
          <w:szCs w:val="30"/>
        </w:rPr>
        <w:t>对</w:t>
      </w:r>
      <w:r>
        <w:rPr>
          <w:rFonts w:hint="eastAsia" w:ascii="宋体" w:hAnsi="宋体" w:eastAsia="宋体" w:cs="宋体"/>
          <w:b w:val="0"/>
          <w:bCs w:val="0"/>
          <w:sz w:val="30"/>
          <w:szCs w:val="30"/>
          <w:lang w:eastAsia="zh-CN"/>
        </w:rPr>
        <w:t>消防器材</w:t>
      </w:r>
      <w:r>
        <w:rPr>
          <w:rFonts w:hint="eastAsia" w:ascii="宋体" w:hAnsi="宋体" w:eastAsia="宋体" w:cs="宋体"/>
          <w:b w:val="0"/>
          <w:bCs w:val="0"/>
          <w:sz w:val="30"/>
          <w:szCs w:val="30"/>
        </w:rPr>
        <w:t>采购项目进行竞争</w:t>
      </w:r>
      <w:r>
        <w:rPr>
          <w:rFonts w:hint="eastAsia" w:ascii="宋体" w:hAnsi="宋体" w:cs="宋体"/>
          <w:sz w:val="30"/>
          <w:szCs w:val="30"/>
        </w:rPr>
        <w:t>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16</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hint="eastAsia" w:ascii="宋体" w:hAnsi="宋体" w:cs="宋体"/>
          <w:b/>
          <w:bCs/>
          <w:sz w:val="30"/>
          <w:szCs w:val="30"/>
        </w:rPr>
      </w:pPr>
      <w:r>
        <w:rPr>
          <w:rFonts w:hint="eastAsia" w:ascii="宋体" w:hAnsi="宋体" w:cs="宋体"/>
          <w:b/>
          <w:bCs/>
          <w:sz w:val="30"/>
          <w:szCs w:val="30"/>
        </w:rPr>
        <w:t>（三）采购内容：</w:t>
      </w:r>
    </w:p>
    <w:tbl>
      <w:tblPr>
        <w:tblStyle w:val="19"/>
        <w:tblpPr w:leftFromText="180" w:rightFromText="180" w:vertAnchor="text" w:horzAnchor="page" w:tblpX="1785" w:tblpY="611"/>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020"/>
        <w:gridCol w:w="855"/>
        <w:gridCol w:w="1590"/>
        <w:gridCol w:w="16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项目名称</w:t>
            </w:r>
          </w:p>
        </w:tc>
        <w:tc>
          <w:tcPr>
            <w:tcW w:w="102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数量</w:t>
            </w:r>
          </w:p>
        </w:tc>
        <w:tc>
          <w:tcPr>
            <w:tcW w:w="855" w:type="dxa"/>
            <w:vAlign w:val="center"/>
          </w:tcPr>
          <w:p>
            <w:pPr>
              <w:pStyle w:val="16"/>
              <w:spacing w:before="0" w:beforeAutospacing="0" w:after="0" w:afterAutospacing="0" w:line="460" w:lineRule="exact"/>
              <w:jc w:val="center"/>
              <w:rPr>
                <w:rFonts w:hint="eastAsia" w:ascii="宋体" w:hAnsi="宋体" w:eastAsia="宋体" w:cs="宋体"/>
                <w:sz w:val="30"/>
                <w:szCs w:val="30"/>
                <w:lang w:val="en-US" w:eastAsia="zh-CN"/>
              </w:rPr>
            </w:pPr>
            <w:r>
              <w:rPr>
                <w:rFonts w:hint="eastAsia" w:ascii="宋体" w:hAnsi="宋体" w:eastAsia="宋体" w:cs="宋体"/>
                <w:b/>
                <w:spacing w:val="-20"/>
                <w:sz w:val="30"/>
                <w:szCs w:val="30"/>
              </w:rPr>
              <w:t>单位</w:t>
            </w:r>
          </w:p>
        </w:tc>
        <w:tc>
          <w:tcPr>
            <w:tcW w:w="159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主要技术规格及要求</w:t>
            </w:r>
          </w:p>
        </w:tc>
        <w:tc>
          <w:tcPr>
            <w:tcW w:w="1665" w:type="dxa"/>
            <w:vAlign w:val="center"/>
          </w:tcPr>
          <w:p>
            <w:pPr>
              <w:pStyle w:val="16"/>
              <w:spacing w:before="0" w:beforeAutospacing="0" w:after="0" w:afterAutospacing="0" w:line="460" w:lineRule="exact"/>
              <w:jc w:val="center"/>
              <w:rPr>
                <w:rFonts w:hint="eastAsia" w:ascii="宋体" w:hAnsi="宋体" w:eastAsia="宋体" w:cs="宋体"/>
                <w:b/>
                <w:spacing w:val="-20"/>
                <w:sz w:val="30"/>
                <w:szCs w:val="30"/>
                <w:lang w:eastAsia="zh-CN"/>
              </w:rPr>
            </w:pPr>
            <w:r>
              <w:rPr>
                <w:rFonts w:hint="eastAsia" w:cs="宋体"/>
                <w:b/>
                <w:spacing w:val="-20"/>
                <w:sz w:val="30"/>
                <w:szCs w:val="30"/>
                <w:lang w:eastAsia="zh-CN"/>
              </w:rPr>
              <w:t>预算单价</w:t>
            </w:r>
          </w:p>
        </w:tc>
        <w:tc>
          <w:tcPr>
            <w:tcW w:w="1995"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干粉灭火器ABC</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400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MFZ/ABC4公斤</w:t>
            </w:r>
          </w:p>
        </w:tc>
        <w:tc>
          <w:tcPr>
            <w:tcW w:w="16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68元/具</w:t>
            </w:r>
          </w:p>
        </w:tc>
        <w:tc>
          <w:tcPr>
            <w:tcW w:w="19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二氧化碳灭火器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150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MT/2公斤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138元/具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灭火器箱</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375</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4*2</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58元/个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干粉灭火器ABC</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600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MFZ/ABC2公斤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58</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无磁性灭火器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FE13NM</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16140</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64560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推车式二氧化碳灭火器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5</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MTT/24公斤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3378</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消防应急箱体</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45.5*34*15MM</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120</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过滤式消防自救呼吸器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180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TZL30</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60</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指挥棒</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充电式</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82</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LED手电筒</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85</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扩音器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68</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哨子</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15元/个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合计</w:t>
            </w:r>
          </w:p>
        </w:tc>
        <w:tc>
          <w:tcPr>
            <w:tcW w:w="7125" w:type="dxa"/>
            <w:gridSpan w:val="5"/>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230000</w:t>
            </w:r>
            <w:r>
              <w:rPr>
                <w:rFonts w:hint="eastAsia" w:ascii="宋体" w:hAnsi="宋体" w:cs="宋体"/>
                <w:sz w:val="30"/>
                <w:szCs w:val="30"/>
                <w:vertAlign w:val="baseline"/>
                <w:lang w:val="en-US" w:eastAsia="zh-CN"/>
              </w:rPr>
              <w:t>元</w:t>
            </w:r>
          </w:p>
        </w:tc>
      </w:tr>
    </w:tbl>
    <w:p>
      <w:pPr>
        <w:pStyle w:val="10"/>
        <w:spacing w:line="460" w:lineRule="exact"/>
        <w:ind w:left="0" w:leftChars="0" w:firstLine="0" w:firstLineChars="0"/>
        <w:rPr>
          <w:rFonts w:hint="eastAsia" w:ascii="宋体" w:hAnsi="宋体" w:cs="宋体"/>
          <w:b/>
          <w:bCs/>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highlight w:val="yellow"/>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1、所投货物须提供《产品型式检验报告》---（国家权威消防检验机构检验盖章）</w:t>
      </w:r>
      <w:r>
        <w:rPr>
          <w:rFonts w:hint="eastAsia"/>
          <w:kern w:val="2"/>
          <w:sz w:val="30"/>
          <w:szCs w:val="30"/>
          <w:lang w:eastAsia="zh-CN"/>
        </w:rPr>
        <w:t>及</w:t>
      </w:r>
      <w:r>
        <w:rPr>
          <w:rFonts w:hint="eastAsia"/>
          <w:kern w:val="2"/>
          <w:sz w:val="30"/>
          <w:szCs w:val="30"/>
        </w:rPr>
        <w:t>《产品出厂合格证》。</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16</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月1</w:t>
      </w:r>
      <w:r>
        <w:rPr>
          <w:rFonts w:hint="eastAsia"/>
          <w:kern w:val="2"/>
          <w:sz w:val="30"/>
          <w:szCs w:val="30"/>
          <w:highlight w:val="yellow"/>
          <w:lang w:val="en-US" w:eastAsia="zh-CN"/>
        </w:rPr>
        <w:t>7</w:t>
      </w:r>
      <w:r>
        <w:rPr>
          <w:rFonts w:hint="eastAsia"/>
          <w:kern w:val="2"/>
          <w:sz w:val="30"/>
          <w:szCs w:val="30"/>
          <w:highlight w:val="yellow"/>
        </w:rPr>
        <w:t>日至2019年0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21</w:t>
      </w:r>
      <w:r>
        <w:rPr>
          <w:rFonts w:hint="eastAsia"/>
          <w:kern w:val="2"/>
          <w:sz w:val="30"/>
          <w:szCs w:val="30"/>
          <w:highlight w:val="yellow"/>
        </w:rPr>
        <w:t>日（工作日内</w:t>
      </w:r>
      <w:r>
        <w:rPr>
          <w:rFonts w:hint="eastAsia"/>
          <w:color w:val="auto"/>
          <w:kern w:val="2"/>
          <w:sz w:val="30"/>
          <w:szCs w:val="30"/>
          <w:highlight w:val="yellow"/>
        </w:rPr>
        <w:t>）</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color w:val="auto"/>
          <w:kern w:val="2"/>
          <w:sz w:val="30"/>
          <w:szCs w:val="30"/>
          <w:highlight w:val="yellow"/>
        </w:rPr>
        <w:t>2019年</w:t>
      </w:r>
      <w:r>
        <w:rPr>
          <w:rFonts w:hint="eastAsia"/>
          <w:color w:val="auto"/>
          <w:kern w:val="2"/>
          <w:sz w:val="30"/>
          <w:szCs w:val="30"/>
          <w:highlight w:val="yellow"/>
          <w:lang w:val="en-US" w:eastAsia="zh-CN"/>
        </w:rPr>
        <w:t>05</w:t>
      </w:r>
      <w:r>
        <w:rPr>
          <w:rFonts w:hint="eastAsia"/>
          <w:color w:val="auto"/>
          <w:kern w:val="2"/>
          <w:sz w:val="30"/>
          <w:szCs w:val="30"/>
          <w:highlight w:val="yellow"/>
        </w:rPr>
        <w:t>月</w:t>
      </w:r>
      <w:r>
        <w:rPr>
          <w:rFonts w:hint="eastAsia"/>
          <w:b w:val="0"/>
          <w:bCs w:val="0"/>
          <w:color w:val="auto"/>
          <w:kern w:val="2"/>
          <w:sz w:val="30"/>
          <w:szCs w:val="30"/>
          <w:highlight w:val="yellow"/>
          <w:lang w:val="en-US" w:eastAsia="zh-CN"/>
        </w:rPr>
        <w:t>24</w:t>
      </w:r>
      <w:r>
        <w:rPr>
          <w:rFonts w:hint="eastAsia"/>
          <w:color w:val="auto"/>
          <w:kern w:val="2"/>
          <w:sz w:val="30"/>
          <w:szCs w:val="30"/>
          <w:highlight w:val="yellow"/>
        </w:rPr>
        <w:t>日15:00（北京时间），</w:t>
      </w:r>
      <w:r>
        <w:rPr>
          <w:rFonts w:hint="eastAsia"/>
          <w:color w:val="auto"/>
          <w:kern w:val="2"/>
          <w:sz w:val="30"/>
          <w:szCs w:val="30"/>
          <w:highlight w:val="none"/>
        </w:rPr>
        <w:t>谈判地点：赣州市人民医院南院行政楼</w:t>
      </w:r>
      <w:r>
        <w:rPr>
          <w:rFonts w:hint="eastAsia"/>
          <w:color w:val="auto"/>
          <w:kern w:val="2"/>
          <w:sz w:val="30"/>
          <w:szCs w:val="30"/>
          <w:highlight w:val="none"/>
          <w:lang w:val="en-US" w:eastAsia="zh-CN"/>
        </w:rPr>
        <w:t>2</w:t>
      </w:r>
      <w:r>
        <w:rPr>
          <w:rFonts w:hint="eastAsia"/>
          <w:color w:val="auto"/>
          <w:kern w:val="2"/>
          <w:sz w:val="30"/>
          <w:szCs w:val="30"/>
          <w:highlight w:val="none"/>
        </w:rPr>
        <w:t>楼</w:t>
      </w:r>
      <w:r>
        <w:rPr>
          <w:rFonts w:hint="eastAsia"/>
          <w:color w:val="auto"/>
          <w:kern w:val="2"/>
          <w:sz w:val="30"/>
          <w:szCs w:val="30"/>
          <w:highlight w:val="none"/>
          <w:lang w:val="en-US" w:eastAsia="zh-CN"/>
        </w:rPr>
        <w:t>4</w:t>
      </w:r>
      <w:r>
        <w:rPr>
          <w:rFonts w:hint="eastAsia"/>
          <w:color w:val="auto"/>
          <w:kern w:val="2"/>
          <w:sz w:val="30"/>
          <w:szCs w:val="30"/>
          <w:highlight w:val="none"/>
        </w:rPr>
        <w:t>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highlight w:val="yellow"/>
        </w:rPr>
        <w:t>响应供应商的响应保证金足额一次性缴纳人民币</w:t>
      </w:r>
      <w:r>
        <w:rPr>
          <w:rFonts w:hint="eastAsia"/>
          <w:kern w:val="2"/>
          <w:sz w:val="30"/>
          <w:szCs w:val="30"/>
          <w:highlight w:val="yellow"/>
          <w:lang w:eastAsia="zh-CN"/>
        </w:rPr>
        <w:t>肆</w:t>
      </w:r>
      <w:r>
        <w:rPr>
          <w:rFonts w:hint="eastAsia"/>
          <w:kern w:val="2"/>
          <w:sz w:val="30"/>
          <w:szCs w:val="30"/>
          <w:highlight w:val="yellow"/>
        </w:rPr>
        <w:t>仟</w:t>
      </w:r>
      <w:r>
        <w:rPr>
          <w:rFonts w:hint="eastAsia"/>
          <w:kern w:val="2"/>
          <w:sz w:val="30"/>
          <w:szCs w:val="30"/>
          <w:highlight w:val="yellow"/>
          <w:lang w:eastAsia="zh-CN"/>
        </w:rPr>
        <w:t>陆</w:t>
      </w:r>
      <w:r>
        <w:rPr>
          <w:rFonts w:hint="eastAsia"/>
          <w:kern w:val="2"/>
          <w:sz w:val="30"/>
          <w:szCs w:val="30"/>
          <w:highlight w:val="yellow"/>
        </w:rPr>
        <w:t>佰元整</w:t>
      </w:r>
      <w:r>
        <w:rPr>
          <w:rFonts w:hint="eastAsia"/>
          <w:color w:val="auto"/>
          <w:kern w:val="2"/>
          <w:sz w:val="30"/>
          <w:szCs w:val="30"/>
          <w:highlight w:val="yellow"/>
        </w:rPr>
        <w:t>，</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rPr>
        <w:t>货物经验收合格后一个月内一次性付清，不计利息。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w:t>
      </w:r>
      <w:r>
        <w:rPr>
          <w:rFonts w:hint="eastAsia"/>
          <w:b w:val="0"/>
          <w:bCs w:val="0"/>
          <w:color w:val="auto"/>
          <w:kern w:val="2"/>
          <w:sz w:val="30"/>
          <w:szCs w:val="30"/>
        </w:rPr>
        <w:t>起</w:t>
      </w:r>
      <w:r>
        <w:rPr>
          <w:rFonts w:hint="eastAsia"/>
          <w:b w:val="0"/>
          <w:bCs w:val="0"/>
          <w:color w:val="auto"/>
          <w:kern w:val="2"/>
          <w:sz w:val="30"/>
          <w:szCs w:val="30"/>
          <w:highlight w:val="yellow"/>
          <w:shd w:val="clear" w:color="auto" w:fill="auto"/>
          <w:lang w:eastAsia="zh-CN"/>
        </w:rPr>
        <w:t>七日</w:t>
      </w:r>
      <w:r>
        <w:rPr>
          <w:rFonts w:hint="eastAsia"/>
          <w:b w:val="0"/>
          <w:bCs w:val="0"/>
          <w:color w:val="auto"/>
          <w:kern w:val="2"/>
          <w:sz w:val="30"/>
          <w:szCs w:val="30"/>
          <w:highlight w:val="yellow"/>
          <w:shd w:val="clear" w:color="auto" w:fill="auto"/>
        </w:rPr>
        <w:t>内</w:t>
      </w:r>
      <w:r>
        <w:rPr>
          <w:rFonts w:hint="eastAsia"/>
          <w:b w:val="0"/>
          <w:bCs w:val="0"/>
          <w:color w:val="auto"/>
          <w:kern w:val="2"/>
          <w:sz w:val="30"/>
          <w:szCs w:val="30"/>
        </w:rPr>
        <w:t>完</w:t>
      </w:r>
      <w:r>
        <w:rPr>
          <w:rFonts w:hint="eastAsia"/>
          <w:kern w:val="2"/>
          <w:sz w:val="30"/>
          <w:szCs w:val="30"/>
        </w:rPr>
        <w:t xml:space="preserve">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7、产品参数要求:</w:t>
      </w:r>
      <w:r>
        <w:rPr>
          <w:rFonts w:hint="eastAsia"/>
          <w:b/>
          <w:bCs/>
          <w:kern w:val="2"/>
          <w:sz w:val="30"/>
          <w:szCs w:val="30"/>
          <w:lang w:eastAsia="zh-CN"/>
        </w:rPr>
        <w:t>详见采购内容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w:t>
      </w:r>
      <w:r>
        <w:rPr>
          <w:rFonts w:hint="eastAsia"/>
          <w:kern w:val="2"/>
          <w:sz w:val="30"/>
          <w:szCs w:val="30"/>
          <w:highlight w:val="yellow"/>
        </w:rPr>
        <w:t>不得少于</w:t>
      </w:r>
      <w:r>
        <w:rPr>
          <w:rFonts w:hint="eastAsia"/>
          <w:b/>
          <w:bCs/>
          <w:kern w:val="2"/>
          <w:sz w:val="30"/>
          <w:szCs w:val="30"/>
          <w:highlight w:val="yellow"/>
          <w:lang w:val="en-US" w:eastAsia="zh-CN"/>
        </w:rPr>
        <w:t>6</w:t>
      </w:r>
      <w:r>
        <w:rPr>
          <w:rFonts w:hint="eastAsia"/>
          <w:kern w:val="2"/>
          <w:sz w:val="30"/>
          <w:szCs w:val="30"/>
          <w:highlight w:val="yellow"/>
        </w:rPr>
        <w:t>个月</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rFonts w:hint="eastAsia"/>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rFonts w:hint="eastAsia"/>
          <w:kern w:val="2"/>
          <w:sz w:val="30"/>
          <w:szCs w:val="30"/>
        </w:rPr>
      </w:pP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230000</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kern w:val="2"/>
          <w:sz w:val="30"/>
          <w:szCs w:val="30"/>
          <w:highlight w:val="yellow"/>
          <w:lang w:val="en-GB" w:eastAsia="zh-CN"/>
        </w:rPr>
        <w:t>抽签</w:t>
      </w:r>
      <w:r>
        <w:rPr>
          <w:rFonts w:hint="eastAsia"/>
          <w:kern w:val="2"/>
          <w:sz w:val="30"/>
          <w:szCs w:val="30"/>
          <w:highlight w:val="yellow"/>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376848255"/>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5、付款方式：货物经验收合格后一个月内一次性付清，不计利息。 </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w:t>
      </w:r>
      <w:r>
        <w:rPr>
          <w:rFonts w:hint="eastAsia" w:ascii="仿宋_GB2312" w:hAnsi="仿宋_GB2312" w:eastAsia="仿宋_GB2312" w:cs="仿宋_GB2312"/>
          <w:b/>
          <w:bCs/>
          <w:color w:val="auto"/>
          <w:sz w:val="28"/>
          <w:szCs w:val="28"/>
        </w:rPr>
        <w:t>从验收合格之日起，</w:t>
      </w:r>
      <w:r>
        <w:rPr>
          <w:rFonts w:hint="eastAsia" w:ascii="仿宋" w:hAnsi="仿宋" w:eastAsia="仿宋" w:cs="仿宋"/>
          <w:b/>
          <w:bCs/>
          <w:color w:val="auto"/>
          <w:sz w:val="28"/>
          <w:szCs w:val="28"/>
          <w:lang w:eastAsia="zh-CN"/>
        </w:rPr>
        <w:t>质保</w:t>
      </w:r>
      <w:r>
        <w:rPr>
          <w:rFonts w:hint="eastAsia" w:ascii="仿宋" w:hAnsi="仿宋" w:eastAsia="仿宋" w:cs="仿宋"/>
          <w:b/>
          <w:bCs/>
          <w:color w:val="auto"/>
          <w:kern w:val="2"/>
          <w:sz w:val="28"/>
          <w:szCs w:val="28"/>
        </w:rPr>
        <w:t>不得少于</w:t>
      </w:r>
      <w:r>
        <w:rPr>
          <w:rFonts w:hint="eastAsia" w:ascii="仿宋" w:hAnsi="仿宋" w:eastAsia="仿宋" w:cs="仿宋"/>
          <w:b/>
          <w:bCs/>
          <w:color w:val="auto"/>
          <w:kern w:val="2"/>
          <w:sz w:val="28"/>
          <w:szCs w:val="28"/>
          <w:lang w:val="en-US" w:eastAsia="zh-CN"/>
        </w:rPr>
        <w:t>6</w:t>
      </w:r>
      <w:r>
        <w:rPr>
          <w:rFonts w:hint="eastAsia" w:ascii="仿宋" w:hAnsi="仿宋" w:eastAsia="仿宋" w:cs="仿宋"/>
          <w:b/>
          <w:bCs/>
          <w:color w:val="auto"/>
          <w:kern w:val="2"/>
          <w:sz w:val="28"/>
          <w:szCs w:val="28"/>
        </w:rPr>
        <w:t>个月</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质保</w:t>
      </w:r>
      <w:r>
        <w:rPr>
          <w:rFonts w:hint="eastAsia" w:ascii="仿宋_GB2312" w:hAnsi="仿宋_GB2312" w:eastAsia="仿宋_GB2312" w:cs="仿宋_GB2312"/>
          <w:b/>
          <w:bCs/>
          <w:color w:val="auto"/>
          <w:sz w:val="28"/>
          <w:szCs w:val="28"/>
        </w:rPr>
        <w:t>期内对达不到质量要求者，免费更换或退货处理。</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yellow"/>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asciiTheme="minorEastAsia" w:hAnsiTheme="minorEastAsia" w:eastAsiaTheme="minorEastAsia"/>
          <w:b/>
          <w:bCs/>
          <w:sz w:val="24"/>
          <w:szCs w:val="24"/>
        </w:rPr>
      </w:pPr>
      <w:bookmarkStart w:id="21" w:name="_Toc533775678"/>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hint="eastAsia" w:asciiTheme="minorEastAsia" w:hAnsiTheme="minorEastAsia" w:eastAsiaTheme="minorEastAsia"/>
          <w:b/>
          <w:sz w:val="72"/>
          <w:szCs w:val="72"/>
        </w:rPr>
      </w:pPr>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36AB7"/>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448514B"/>
    <w:rsid w:val="05973165"/>
    <w:rsid w:val="05A259F1"/>
    <w:rsid w:val="06434357"/>
    <w:rsid w:val="064E10EF"/>
    <w:rsid w:val="08C4420C"/>
    <w:rsid w:val="08E90CBA"/>
    <w:rsid w:val="09674909"/>
    <w:rsid w:val="0DBF66E3"/>
    <w:rsid w:val="0E161F02"/>
    <w:rsid w:val="0FE71854"/>
    <w:rsid w:val="10F77714"/>
    <w:rsid w:val="11071F81"/>
    <w:rsid w:val="136F081D"/>
    <w:rsid w:val="13D2318F"/>
    <w:rsid w:val="15A16E90"/>
    <w:rsid w:val="15BB0E83"/>
    <w:rsid w:val="16922AC4"/>
    <w:rsid w:val="185F2E14"/>
    <w:rsid w:val="18974BDB"/>
    <w:rsid w:val="1967240D"/>
    <w:rsid w:val="19DF34F2"/>
    <w:rsid w:val="1A6D0F24"/>
    <w:rsid w:val="1CAF519E"/>
    <w:rsid w:val="1CE11745"/>
    <w:rsid w:val="1DE11676"/>
    <w:rsid w:val="1EDD6A9D"/>
    <w:rsid w:val="21152A38"/>
    <w:rsid w:val="216107B1"/>
    <w:rsid w:val="21B40E5C"/>
    <w:rsid w:val="21C207F2"/>
    <w:rsid w:val="24326DF1"/>
    <w:rsid w:val="24D647F1"/>
    <w:rsid w:val="2520200B"/>
    <w:rsid w:val="2787664C"/>
    <w:rsid w:val="29287D72"/>
    <w:rsid w:val="29A84304"/>
    <w:rsid w:val="29B65A5E"/>
    <w:rsid w:val="2DA97F02"/>
    <w:rsid w:val="2E391AD9"/>
    <w:rsid w:val="2E67723B"/>
    <w:rsid w:val="2EA451BE"/>
    <w:rsid w:val="2F0C4AC8"/>
    <w:rsid w:val="301F291B"/>
    <w:rsid w:val="316C7EBF"/>
    <w:rsid w:val="34866C46"/>
    <w:rsid w:val="34BB1276"/>
    <w:rsid w:val="350230B9"/>
    <w:rsid w:val="35A6339D"/>
    <w:rsid w:val="37285450"/>
    <w:rsid w:val="37513ABD"/>
    <w:rsid w:val="37DF52E0"/>
    <w:rsid w:val="3AD701D3"/>
    <w:rsid w:val="3C4068E3"/>
    <w:rsid w:val="3C5B277C"/>
    <w:rsid w:val="3C8461D9"/>
    <w:rsid w:val="3DB86EC2"/>
    <w:rsid w:val="3E36565C"/>
    <w:rsid w:val="3ECB7762"/>
    <w:rsid w:val="3F55754B"/>
    <w:rsid w:val="3F566DB0"/>
    <w:rsid w:val="40044169"/>
    <w:rsid w:val="427450A4"/>
    <w:rsid w:val="44AC07D5"/>
    <w:rsid w:val="49596981"/>
    <w:rsid w:val="4A421755"/>
    <w:rsid w:val="4AD203D4"/>
    <w:rsid w:val="4B3C629F"/>
    <w:rsid w:val="4CD92AC2"/>
    <w:rsid w:val="4F0E7890"/>
    <w:rsid w:val="508F015D"/>
    <w:rsid w:val="52D50E88"/>
    <w:rsid w:val="530D2540"/>
    <w:rsid w:val="53E66CFA"/>
    <w:rsid w:val="55B67588"/>
    <w:rsid w:val="5AD7610B"/>
    <w:rsid w:val="5AE1172E"/>
    <w:rsid w:val="5CAD7067"/>
    <w:rsid w:val="5CCB1131"/>
    <w:rsid w:val="5CE36945"/>
    <w:rsid w:val="5E4E7C8E"/>
    <w:rsid w:val="5F482BBC"/>
    <w:rsid w:val="60423A38"/>
    <w:rsid w:val="608B564A"/>
    <w:rsid w:val="610E1933"/>
    <w:rsid w:val="630D14AE"/>
    <w:rsid w:val="63470076"/>
    <w:rsid w:val="6381334D"/>
    <w:rsid w:val="64296BB3"/>
    <w:rsid w:val="68552D56"/>
    <w:rsid w:val="6A80498B"/>
    <w:rsid w:val="6C9D14D3"/>
    <w:rsid w:val="6CB707CE"/>
    <w:rsid w:val="6CEB6296"/>
    <w:rsid w:val="6F066E31"/>
    <w:rsid w:val="716C1DBF"/>
    <w:rsid w:val="7189237A"/>
    <w:rsid w:val="71B205C1"/>
    <w:rsid w:val="71C93182"/>
    <w:rsid w:val="72106282"/>
    <w:rsid w:val="73192E1A"/>
    <w:rsid w:val="73E877E6"/>
    <w:rsid w:val="74096E6C"/>
    <w:rsid w:val="749367EB"/>
    <w:rsid w:val="76212F88"/>
    <w:rsid w:val="77855D8E"/>
    <w:rsid w:val="77A607E9"/>
    <w:rsid w:val="77AD6383"/>
    <w:rsid w:val="79223551"/>
    <w:rsid w:val="79481457"/>
    <w:rsid w:val="7B4E2D2D"/>
    <w:rsid w:val="7BBC0059"/>
    <w:rsid w:val="7CF52A24"/>
    <w:rsid w:val="7F393964"/>
    <w:rsid w:val="7F96275D"/>
    <w:rsid w:val="7FA9656F"/>
    <w:rsid w:val="7FEA6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14</TotalTime>
  <ScaleCrop>false</ScaleCrop>
  <LinksUpToDate>false</LinksUpToDate>
  <CharactersWithSpaces>10897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2019-05-16T02:12:50Z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