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项目名称：赣州市人民医院</w:t>
      </w:r>
      <w:r>
        <w:rPr>
          <w:rFonts w:hint="eastAsia" w:eastAsia="黑体"/>
          <w:b/>
          <w:bCs/>
          <w:sz w:val="32"/>
          <w:lang w:eastAsia="zh-CN"/>
        </w:rPr>
        <w:t>消防器材</w:t>
      </w:r>
      <w:r>
        <w:rPr>
          <w:rFonts w:hint="eastAsia" w:eastAsia="黑体"/>
          <w:b/>
          <w:bCs/>
          <w:sz w:val="32"/>
        </w:rPr>
        <w:t>采购项目</w:t>
      </w:r>
    </w:p>
    <w:p>
      <w:pPr>
        <w:spacing w:line="480" w:lineRule="auto"/>
        <w:rPr>
          <w:rFonts w:eastAsia="黑体"/>
          <w:b/>
          <w:bCs/>
          <w:sz w:val="32"/>
        </w:rPr>
      </w:pPr>
    </w:p>
    <w:p>
      <w:pPr>
        <w:spacing w:line="480" w:lineRule="auto"/>
        <w:rPr>
          <w:rFonts w:eastAsia="黑体"/>
          <w:b/>
          <w:bCs/>
          <w:sz w:val="32"/>
        </w:rPr>
      </w:pPr>
    </w:p>
    <w:p>
      <w:pPr>
        <w:spacing w:line="480" w:lineRule="auto"/>
        <w:ind w:firstLine="1263" w:firstLineChars="393"/>
        <w:rPr>
          <w:rFonts w:hint="default" w:eastAsia="黑体"/>
          <w:b/>
          <w:bCs/>
          <w:color w:val="auto"/>
          <w:sz w:val="32"/>
          <w:lang w:val="en-US" w:eastAsia="zh-CN"/>
        </w:rPr>
      </w:pPr>
      <w:r>
        <w:rPr>
          <w:rFonts w:hint="eastAsia" w:eastAsia="黑体"/>
          <w:b/>
          <w:bCs/>
          <w:color w:val="auto"/>
          <w:sz w:val="32"/>
        </w:rPr>
        <w:t>项目编号：</w:t>
      </w:r>
      <w:r>
        <w:rPr>
          <w:rFonts w:hint="eastAsia" w:eastAsia="黑体"/>
          <w:b/>
          <w:bCs/>
          <w:color w:val="auto"/>
          <w:sz w:val="32"/>
          <w:lang w:val="en-US" w:eastAsia="zh-CN"/>
        </w:rPr>
        <w:t>YN2019-016</w:t>
      </w:r>
      <w:r>
        <w:rPr>
          <w:rFonts w:hint="default" w:eastAsia="黑体"/>
          <w:b/>
          <w:bCs/>
          <w:color w:val="auto"/>
          <w:sz w:val="32"/>
          <w:lang w:val="en-US" w:eastAsia="zh-CN"/>
        </w:rPr>
        <w:t>-1</w:t>
      </w:r>
    </w:p>
    <w:p>
      <w:pPr>
        <w:spacing w:line="480" w:lineRule="auto"/>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二0一九年</w:t>
      </w:r>
      <w:r>
        <w:rPr>
          <w:rFonts w:hint="eastAsia" w:eastAsia="黑体"/>
          <w:b/>
          <w:bCs/>
          <w:sz w:val="32"/>
          <w:lang w:eastAsia="zh-CN"/>
        </w:rPr>
        <w:t>五</w:t>
      </w:r>
      <w:r>
        <w:rPr>
          <w:rFonts w:hint="eastAsia" w:eastAsia="黑体"/>
          <w:b/>
          <w:bCs/>
          <w:sz w:val="32"/>
        </w:rPr>
        <w:t>月</w:t>
      </w:r>
      <w:r>
        <w:rPr>
          <w:rFonts w:hint="eastAsia" w:eastAsia="黑体"/>
          <w:b/>
          <w:bCs/>
          <w:sz w:val="32"/>
          <w:lang w:eastAsia="zh-CN"/>
        </w:rPr>
        <w:t>三十一</w:t>
      </w:r>
      <w:r>
        <w:rPr>
          <w:rFonts w:hint="eastAsia" w:eastAsia="黑体"/>
          <w:b/>
          <w:bCs/>
          <w:sz w:val="32"/>
        </w:rPr>
        <w:t>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4"/>
        <w:ind w:firstLine="420"/>
        <w:rPr>
          <w:rFonts w:asciiTheme="minorHAnsi" w:hAnsiTheme="minorHAnsi" w:eastAsiaTheme="minorEastAsia" w:cstheme="minorBidi"/>
          <w:b w:val="0"/>
          <w:szCs w:val="22"/>
        </w:rPr>
      </w:pPr>
      <w:r>
        <w:rPr>
          <w:rStyle w:val="22"/>
          <w:rFonts w:asciiTheme="minorEastAsia" w:hAnsiTheme="minorEastAsia" w:eastAsiaTheme="minorEastAsia"/>
          <w:b w:val="0"/>
          <w:color w:val="auto"/>
          <w:shd w:val="pct10" w:color="auto" w:fill="FFFFFF"/>
        </w:rPr>
        <w:fldChar w:fldCharType="begin"/>
      </w:r>
      <w:r>
        <w:rPr>
          <w:rStyle w:val="22"/>
          <w:rFonts w:hint="eastAsia" w:asciiTheme="minorEastAsia" w:hAnsiTheme="minorEastAsia" w:eastAsiaTheme="minorEastAsia"/>
          <w:b w:val="0"/>
          <w:color w:val="auto"/>
          <w:shd w:val="pct10" w:color="auto" w:fill="FFFFFF"/>
        </w:rPr>
        <w:instrText xml:space="preserve">TOC \o "1-3" \h \z \u</w:instrText>
      </w:r>
      <w:r>
        <w:rPr>
          <w:rStyle w:val="22"/>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2"/>
          <w:rFonts w:hint="eastAsia"/>
          <w:color w:val="auto"/>
        </w:rPr>
        <w:t>第一章　谈判公告</w:t>
      </w:r>
      <w:r>
        <w:tab/>
      </w:r>
      <w:r>
        <w:fldChar w:fldCharType="begin"/>
      </w:r>
      <w:r>
        <w:instrText xml:space="preserve"> PAGEREF _Toc533775662 \h </w:instrText>
      </w:r>
      <w:r>
        <w:fldChar w:fldCharType="separate"/>
      </w:r>
      <w:r>
        <w:t>1</w:t>
      </w:r>
      <w:r>
        <w:fldChar w:fldCharType="end"/>
      </w:r>
      <w:r>
        <w:fldChar w:fldCharType="end"/>
      </w:r>
    </w:p>
    <w:p>
      <w:pPr>
        <w:pStyle w:val="14"/>
        <w:ind w:firstLine="420"/>
        <w:rPr>
          <w:rFonts w:asciiTheme="minorHAnsi" w:hAnsiTheme="minorHAnsi" w:eastAsiaTheme="minorEastAsia" w:cstheme="minorBidi"/>
          <w:b w:val="0"/>
          <w:szCs w:val="22"/>
        </w:rPr>
      </w:pPr>
    </w:p>
    <w:p>
      <w:pPr>
        <w:pStyle w:val="14"/>
        <w:rPr>
          <w:rFonts w:hint="eastAsia"/>
        </w:rPr>
      </w:pPr>
      <w:r>
        <w:fldChar w:fldCharType="begin"/>
      </w:r>
      <w:r>
        <w:instrText xml:space="preserve"> HYPERLINK \l "_Toc533775665" </w:instrText>
      </w:r>
      <w:r>
        <w:fldChar w:fldCharType="separate"/>
      </w:r>
      <w:r>
        <w:rPr>
          <w:rStyle w:val="22"/>
          <w:rFonts w:hint="eastAsia"/>
          <w:color w:val="auto"/>
        </w:rPr>
        <w:t>第二章谈判文件</w:t>
      </w:r>
      <w:r>
        <w:tab/>
      </w:r>
      <w:r>
        <w:rPr>
          <w:rFonts w:hint="eastAsia"/>
        </w:rPr>
        <w:t>3</w:t>
      </w:r>
      <w:r>
        <w:rPr>
          <w:rFonts w:hint="eastAsia"/>
        </w:rPr>
        <w:fldChar w:fldCharType="end"/>
      </w:r>
    </w:p>
    <w:p/>
    <w:p>
      <w:pPr>
        <w:pStyle w:val="14"/>
        <w:rPr>
          <w:rFonts w:hint="eastAsia"/>
        </w:rPr>
      </w:pPr>
      <w:r>
        <w:rPr>
          <w:rStyle w:val="22"/>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
      <w:pPr>
        <w:pStyle w:val="14"/>
        <w:rPr>
          <w:rFonts w:hint="eastAsia"/>
        </w:rPr>
      </w:pPr>
      <w:r>
        <w:fldChar w:fldCharType="begin"/>
      </w:r>
      <w:r>
        <w:instrText xml:space="preserve"> HYPERLINK \l "_Toc533775668" </w:instrText>
      </w:r>
      <w:r>
        <w:fldChar w:fldCharType="separate"/>
      </w:r>
      <w:r>
        <w:rPr>
          <w:rStyle w:val="22"/>
          <w:rFonts w:hint="eastAsia"/>
          <w:color w:val="auto"/>
        </w:rPr>
        <w:t>二、响应文件的编制</w:t>
      </w:r>
      <w:r>
        <w:tab/>
      </w:r>
      <w:r>
        <w:rPr>
          <w:rFonts w:hint="eastAsia"/>
        </w:rPr>
        <w:t>4</w:t>
      </w:r>
      <w:r>
        <w:rPr>
          <w:rFonts w:hint="eastAsia"/>
        </w:rPr>
        <w:fldChar w:fldCharType="end"/>
      </w:r>
    </w:p>
    <w:p/>
    <w:p>
      <w:pPr>
        <w:pStyle w:val="14"/>
        <w:rPr>
          <w:rFonts w:hint="eastAsia"/>
        </w:rPr>
      </w:pPr>
      <w:r>
        <w:rPr>
          <w:rFonts w:hint="eastAsia"/>
        </w:rPr>
        <w:t>三</w:t>
      </w:r>
      <w:r>
        <w:fldChar w:fldCharType="begin"/>
      </w:r>
      <w:r>
        <w:instrText xml:space="preserve"> HYPERLINK \l "_Toc533775670" </w:instrText>
      </w:r>
      <w:r>
        <w:fldChar w:fldCharType="separate"/>
      </w:r>
      <w:r>
        <w:rPr>
          <w:rStyle w:val="22"/>
          <w:rFonts w:hint="eastAsia"/>
          <w:color w:val="auto"/>
        </w:rPr>
        <w:t>、谈判</w:t>
      </w:r>
      <w:r>
        <w:tab/>
      </w:r>
      <w:r>
        <w:rPr>
          <w:rFonts w:hint="eastAsia"/>
        </w:rPr>
        <w:t>7</w:t>
      </w:r>
      <w:r>
        <w:rPr>
          <w:rFonts w:hint="eastAsia"/>
        </w:rPr>
        <w:fldChar w:fldCharType="end"/>
      </w:r>
    </w:p>
    <w:p/>
    <w:p>
      <w:pPr>
        <w:pStyle w:val="14"/>
      </w:pPr>
      <w:r>
        <w:fldChar w:fldCharType="begin"/>
      </w:r>
      <w:r>
        <w:instrText xml:space="preserve"> HYPERLINK \l "_Toc533775677" </w:instrText>
      </w:r>
      <w:r>
        <w:fldChar w:fldCharType="separate"/>
      </w:r>
      <w:r>
        <w:rPr>
          <w:rStyle w:val="22"/>
          <w:rFonts w:hint="eastAsia"/>
          <w:color w:val="auto"/>
        </w:rPr>
        <w:t>第三章　合同草案</w:t>
      </w:r>
      <w:r>
        <w:tab/>
      </w:r>
      <w:r>
        <w:fldChar w:fldCharType="begin"/>
      </w:r>
      <w:r>
        <w:instrText xml:space="preserve"> PAGEREF _Toc533775677 \h </w:instrText>
      </w:r>
      <w:r>
        <w:fldChar w:fldCharType="separate"/>
      </w:r>
      <w:r>
        <w:rPr>
          <w:rFonts w:hint="eastAsia"/>
        </w:rPr>
        <w:t>1</w:t>
      </w:r>
      <w:r>
        <w:t>0</w:t>
      </w:r>
      <w:r>
        <w:fldChar w:fldCharType="end"/>
      </w:r>
      <w:r>
        <w:fldChar w:fldCharType="end"/>
      </w:r>
    </w:p>
    <w:p/>
    <w:p>
      <w:pPr>
        <w:pStyle w:val="14"/>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2"/>
          <w:rFonts w:hint="eastAsia"/>
          <w:color w:val="auto"/>
        </w:rPr>
        <w:t>附件响应文件格式</w:t>
      </w:r>
      <w:r>
        <w:tab/>
      </w:r>
      <w:r>
        <w:rPr>
          <w:rFonts w:hint="eastAsia"/>
        </w:rPr>
        <w:t>1</w:t>
      </w:r>
      <w:r>
        <w:fldChar w:fldCharType="begin"/>
      </w:r>
      <w:r>
        <w:instrText xml:space="preserve"> PAGEREF _Toc533775678 \h </w:instrText>
      </w:r>
      <w:r>
        <w:fldChar w:fldCharType="separate"/>
      </w:r>
      <w:r>
        <w:t>2</w:t>
      </w:r>
      <w:r>
        <w:fldChar w:fldCharType="end"/>
      </w:r>
      <w:r>
        <w:fldChar w:fldCharType="end"/>
      </w:r>
    </w:p>
    <w:p>
      <w:pPr>
        <w:pStyle w:val="14"/>
        <w:ind w:firstLine="420"/>
        <w:rPr>
          <w:rFonts w:asciiTheme="minorHAnsi" w:hAnsiTheme="minorHAnsi" w:eastAsiaTheme="minorEastAsia" w:cstheme="minorBidi"/>
          <w:b w:val="0"/>
          <w:szCs w:val="22"/>
        </w:rPr>
      </w:pPr>
    </w:p>
    <w:p>
      <w:pPr>
        <w:pStyle w:val="14"/>
        <w:ind w:firstLine="420"/>
        <w:rPr>
          <w:rStyle w:val="22"/>
          <w:rFonts w:asciiTheme="minorEastAsia" w:hAnsiTheme="minorEastAsia" w:eastAsiaTheme="minorEastAsia"/>
          <w:b w:val="0"/>
          <w:color w:val="auto"/>
        </w:rPr>
      </w:pPr>
      <w:r>
        <w:rPr>
          <w:rStyle w:val="22"/>
          <w:rFonts w:asciiTheme="minorEastAsia" w:hAnsiTheme="minorEastAsia" w:eastAsiaTheme="minorEastAsia"/>
          <w:b w:val="0"/>
          <w:color w:val="auto"/>
          <w:shd w:val="pct10" w:color="auto" w:fill="FFFFFF"/>
        </w:rPr>
        <w:fldChar w:fldCharType="end"/>
      </w:r>
    </w:p>
    <w:p>
      <w:pPr>
        <w:pStyle w:val="14"/>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start="0"/>
          <w:cols w:space="720" w:num="1"/>
          <w:titlePg/>
          <w:docGrid w:linePitch="285" w:charSpace="0"/>
        </w:sectPr>
      </w:pPr>
    </w:p>
    <w:p>
      <w:pPr>
        <w:pStyle w:val="2"/>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ind w:firstLine="600" w:firstLineChars="200"/>
        <w:rPr>
          <w:rFonts w:ascii="宋体" w:hAnsi="宋体" w:cs="宋体"/>
          <w:sz w:val="30"/>
          <w:szCs w:val="30"/>
        </w:rPr>
      </w:pPr>
      <w:r>
        <w:rPr>
          <w:rFonts w:hint="eastAsia" w:ascii="宋体" w:hAnsi="宋体" w:cs="宋体"/>
          <w:sz w:val="30"/>
          <w:szCs w:val="30"/>
        </w:rPr>
        <w:t>赣州市人民医院近期将</w:t>
      </w:r>
      <w:r>
        <w:rPr>
          <w:rFonts w:hint="eastAsia" w:ascii="宋体" w:hAnsi="宋体" w:eastAsia="宋体" w:cs="宋体"/>
          <w:b w:val="0"/>
          <w:bCs w:val="0"/>
          <w:sz w:val="30"/>
          <w:szCs w:val="30"/>
        </w:rPr>
        <w:t>对</w:t>
      </w:r>
      <w:r>
        <w:rPr>
          <w:rFonts w:hint="eastAsia" w:ascii="宋体" w:hAnsi="宋体" w:eastAsia="宋体" w:cs="宋体"/>
          <w:b w:val="0"/>
          <w:bCs w:val="0"/>
          <w:sz w:val="30"/>
          <w:szCs w:val="30"/>
          <w:lang w:eastAsia="zh-CN"/>
        </w:rPr>
        <w:t>消防器材</w:t>
      </w:r>
      <w:r>
        <w:rPr>
          <w:rFonts w:hint="eastAsia" w:ascii="宋体" w:hAnsi="宋体" w:eastAsia="宋体" w:cs="宋体"/>
          <w:b w:val="0"/>
          <w:bCs w:val="0"/>
          <w:sz w:val="30"/>
          <w:szCs w:val="30"/>
        </w:rPr>
        <w:t>采购项目进行竞争</w:t>
      </w:r>
      <w:r>
        <w:rPr>
          <w:rFonts w:hint="eastAsia" w:ascii="宋体" w:hAnsi="宋体" w:cs="宋体"/>
          <w:sz w:val="30"/>
          <w:szCs w:val="30"/>
        </w:rPr>
        <w:t>性谈判采购。欢迎符合资格条件的供应商前来参加。</w:t>
      </w:r>
    </w:p>
    <w:p>
      <w:pPr>
        <w:pStyle w:val="10"/>
        <w:spacing w:line="460" w:lineRule="exact"/>
        <w:ind w:firstLine="602"/>
        <w:rPr>
          <w:rFonts w:hint="default" w:ascii="宋体" w:hAnsi="宋体" w:eastAsia="宋体" w:cs="宋体"/>
          <w:sz w:val="30"/>
          <w:szCs w:val="30"/>
          <w:lang w:val="en-US" w:eastAsia="zh-CN"/>
        </w:rPr>
      </w:pPr>
      <w:r>
        <w:rPr>
          <w:rFonts w:hint="eastAsia" w:ascii="宋体" w:hAnsi="宋体" w:cs="宋体"/>
          <w:b/>
          <w:bCs/>
          <w:sz w:val="30"/>
          <w:szCs w:val="30"/>
        </w:rPr>
        <w:t>（一）项目编号：</w:t>
      </w:r>
      <w:r>
        <w:rPr>
          <w:rFonts w:hint="eastAsia" w:ascii="宋体" w:hAnsi="宋体" w:cs="宋体"/>
          <w:sz w:val="30"/>
          <w:szCs w:val="30"/>
        </w:rPr>
        <w:t>YN2019-0</w:t>
      </w:r>
      <w:r>
        <w:rPr>
          <w:rFonts w:hint="eastAsia" w:ascii="宋体" w:hAnsi="宋体" w:cs="宋体"/>
          <w:sz w:val="30"/>
          <w:szCs w:val="30"/>
          <w:lang w:val="en-US" w:eastAsia="zh-CN"/>
        </w:rPr>
        <w:t>16</w:t>
      </w:r>
      <w:r>
        <w:rPr>
          <w:rFonts w:hint="default" w:ascii="宋体" w:hAnsi="宋体" w:cs="宋体"/>
          <w:sz w:val="30"/>
          <w:szCs w:val="30"/>
          <w:lang w:val="en-US" w:eastAsia="zh-CN"/>
        </w:rPr>
        <w:t>-1</w:t>
      </w:r>
    </w:p>
    <w:p>
      <w:pPr>
        <w:pStyle w:val="10"/>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0"/>
        <w:spacing w:line="460" w:lineRule="exact"/>
        <w:ind w:firstLine="602"/>
        <w:rPr>
          <w:rFonts w:hint="eastAsia" w:ascii="宋体" w:hAnsi="宋体" w:cs="宋体"/>
          <w:b/>
          <w:bCs/>
          <w:sz w:val="30"/>
          <w:szCs w:val="30"/>
        </w:rPr>
      </w:pPr>
      <w:r>
        <w:rPr>
          <w:rFonts w:hint="eastAsia" w:ascii="宋体" w:hAnsi="宋体" w:cs="宋体"/>
          <w:b/>
          <w:bCs/>
          <w:sz w:val="30"/>
          <w:szCs w:val="30"/>
        </w:rPr>
        <w:t>（三）采购内容：</w:t>
      </w:r>
    </w:p>
    <w:tbl>
      <w:tblPr>
        <w:tblStyle w:val="19"/>
        <w:tblpPr w:leftFromText="180" w:rightFromText="180" w:vertAnchor="text" w:horzAnchor="page" w:tblpX="1785" w:tblpY="611"/>
        <w:tblOverlap w:val="never"/>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1020"/>
        <w:gridCol w:w="855"/>
        <w:gridCol w:w="1590"/>
        <w:gridCol w:w="166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0" w:type="dxa"/>
            <w:vAlign w:val="center"/>
          </w:tcPr>
          <w:p>
            <w:pPr>
              <w:pStyle w:val="16"/>
              <w:spacing w:before="0" w:beforeAutospacing="0" w:after="0" w:afterAutospacing="0" w:line="460" w:lineRule="exact"/>
              <w:jc w:val="center"/>
              <w:rPr>
                <w:rFonts w:hint="eastAsia" w:ascii="宋体" w:hAnsi="宋体" w:eastAsia="宋体" w:cs="宋体"/>
                <w:sz w:val="30"/>
                <w:szCs w:val="30"/>
                <w:vertAlign w:val="baseline"/>
              </w:rPr>
            </w:pPr>
            <w:r>
              <w:rPr>
                <w:rFonts w:hint="eastAsia" w:ascii="宋体" w:hAnsi="宋体" w:eastAsia="宋体" w:cs="宋体"/>
                <w:b/>
                <w:spacing w:val="-20"/>
                <w:sz w:val="30"/>
                <w:szCs w:val="30"/>
              </w:rPr>
              <w:t>项目名称</w:t>
            </w:r>
          </w:p>
        </w:tc>
        <w:tc>
          <w:tcPr>
            <w:tcW w:w="1020" w:type="dxa"/>
            <w:vAlign w:val="center"/>
          </w:tcPr>
          <w:p>
            <w:pPr>
              <w:pStyle w:val="16"/>
              <w:spacing w:before="0" w:beforeAutospacing="0" w:after="0" w:afterAutospacing="0" w:line="460" w:lineRule="exact"/>
              <w:jc w:val="center"/>
              <w:rPr>
                <w:rFonts w:hint="eastAsia" w:ascii="宋体" w:hAnsi="宋体" w:eastAsia="宋体" w:cs="宋体"/>
                <w:sz w:val="30"/>
                <w:szCs w:val="30"/>
                <w:vertAlign w:val="baseline"/>
              </w:rPr>
            </w:pPr>
            <w:r>
              <w:rPr>
                <w:rFonts w:hint="eastAsia" w:ascii="宋体" w:hAnsi="宋体" w:eastAsia="宋体" w:cs="宋体"/>
                <w:b/>
                <w:spacing w:val="-20"/>
                <w:sz w:val="30"/>
                <w:szCs w:val="30"/>
              </w:rPr>
              <w:t>数量</w:t>
            </w:r>
          </w:p>
        </w:tc>
        <w:tc>
          <w:tcPr>
            <w:tcW w:w="855" w:type="dxa"/>
            <w:vAlign w:val="center"/>
          </w:tcPr>
          <w:p>
            <w:pPr>
              <w:pStyle w:val="16"/>
              <w:spacing w:before="0" w:beforeAutospacing="0" w:after="0" w:afterAutospacing="0" w:line="460" w:lineRule="exact"/>
              <w:jc w:val="center"/>
              <w:rPr>
                <w:rFonts w:hint="eastAsia" w:ascii="宋体" w:hAnsi="宋体" w:eastAsia="宋体" w:cs="宋体"/>
                <w:sz w:val="30"/>
                <w:szCs w:val="30"/>
                <w:lang w:val="en-US" w:eastAsia="zh-CN"/>
              </w:rPr>
            </w:pPr>
            <w:r>
              <w:rPr>
                <w:rFonts w:hint="eastAsia" w:ascii="宋体" w:hAnsi="宋体" w:eastAsia="宋体" w:cs="宋体"/>
                <w:b/>
                <w:spacing w:val="-20"/>
                <w:sz w:val="30"/>
                <w:szCs w:val="30"/>
              </w:rPr>
              <w:t>单位</w:t>
            </w:r>
          </w:p>
        </w:tc>
        <w:tc>
          <w:tcPr>
            <w:tcW w:w="1590" w:type="dxa"/>
            <w:vAlign w:val="center"/>
          </w:tcPr>
          <w:p>
            <w:pPr>
              <w:pStyle w:val="16"/>
              <w:spacing w:before="0" w:beforeAutospacing="0" w:after="0" w:afterAutospacing="0" w:line="460" w:lineRule="exact"/>
              <w:jc w:val="center"/>
              <w:rPr>
                <w:rFonts w:hint="eastAsia" w:ascii="宋体" w:hAnsi="宋体" w:eastAsia="宋体" w:cs="宋体"/>
                <w:sz w:val="30"/>
                <w:szCs w:val="30"/>
                <w:vertAlign w:val="baseline"/>
              </w:rPr>
            </w:pPr>
            <w:r>
              <w:rPr>
                <w:rFonts w:hint="eastAsia" w:ascii="宋体" w:hAnsi="宋体" w:eastAsia="宋体" w:cs="宋体"/>
                <w:b/>
                <w:spacing w:val="-20"/>
                <w:sz w:val="30"/>
                <w:szCs w:val="30"/>
              </w:rPr>
              <w:t>主要技术规格及要求</w:t>
            </w:r>
          </w:p>
        </w:tc>
        <w:tc>
          <w:tcPr>
            <w:tcW w:w="1665" w:type="dxa"/>
            <w:vAlign w:val="center"/>
          </w:tcPr>
          <w:p>
            <w:pPr>
              <w:pStyle w:val="16"/>
              <w:spacing w:before="0" w:beforeAutospacing="0" w:after="0" w:afterAutospacing="0" w:line="460" w:lineRule="exact"/>
              <w:jc w:val="center"/>
              <w:rPr>
                <w:rFonts w:hint="eastAsia" w:ascii="宋体" w:hAnsi="宋体" w:eastAsia="宋体" w:cs="宋体"/>
                <w:b/>
                <w:spacing w:val="-20"/>
                <w:sz w:val="30"/>
                <w:szCs w:val="30"/>
                <w:lang w:eastAsia="zh-CN"/>
              </w:rPr>
            </w:pPr>
            <w:r>
              <w:rPr>
                <w:rFonts w:hint="eastAsia" w:cs="宋体"/>
                <w:b/>
                <w:spacing w:val="-20"/>
                <w:sz w:val="30"/>
                <w:szCs w:val="30"/>
                <w:lang w:eastAsia="zh-CN"/>
              </w:rPr>
              <w:t>预算单价</w:t>
            </w:r>
          </w:p>
        </w:tc>
        <w:tc>
          <w:tcPr>
            <w:tcW w:w="1995" w:type="dxa"/>
            <w:vAlign w:val="center"/>
          </w:tcPr>
          <w:p>
            <w:pPr>
              <w:pStyle w:val="16"/>
              <w:spacing w:before="0" w:beforeAutospacing="0" w:after="0" w:afterAutospacing="0" w:line="460" w:lineRule="exact"/>
              <w:jc w:val="center"/>
              <w:rPr>
                <w:rFonts w:hint="eastAsia" w:ascii="宋体" w:hAnsi="宋体" w:eastAsia="宋体" w:cs="宋体"/>
                <w:sz w:val="30"/>
                <w:szCs w:val="30"/>
                <w:vertAlign w:val="baseline"/>
              </w:rPr>
            </w:pPr>
            <w:r>
              <w:rPr>
                <w:rFonts w:hint="eastAsia" w:ascii="宋体" w:hAnsi="宋体" w:eastAsia="宋体" w:cs="宋体"/>
                <w:b/>
                <w:spacing w:val="-20"/>
                <w:sz w:val="30"/>
                <w:szCs w:val="30"/>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0" w:type="dxa"/>
            <w:vAlign w:val="center"/>
          </w:tcPr>
          <w:p>
            <w:pPr>
              <w:keepNext w:val="0"/>
              <w:keepLines w:val="0"/>
              <w:widowControl/>
              <w:suppressLineNumbers w:val="0"/>
              <w:jc w:val="center"/>
              <w:textAlignment w:val="center"/>
              <w:rPr>
                <w:rFonts w:hint="eastAsia" w:ascii="宋体" w:hAnsi="宋体" w:eastAsia="宋体" w:cs="宋体"/>
                <w:sz w:val="30"/>
                <w:szCs w:val="30"/>
                <w:vertAlign w:val="baseline"/>
              </w:rPr>
            </w:pPr>
            <w:r>
              <w:rPr>
                <w:rFonts w:hint="eastAsia" w:ascii="宋体" w:hAnsi="宋体" w:eastAsia="宋体" w:cs="宋体"/>
                <w:i w:val="0"/>
                <w:color w:val="323232"/>
                <w:kern w:val="0"/>
                <w:sz w:val="30"/>
                <w:szCs w:val="30"/>
                <w:u w:val="none"/>
                <w:lang w:val="en-US" w:eastAsia="zh-CN" w:bidi="ar"/>
              </w:rPr>
              <w:t>干粉灭火器ABC</w:t>
            </w:r>
          </w:p>
        </w:tc>
        <w:tc>
          <w:tcPr>
            <w:tcW w:w="1020" w:type="dxa"/>
            <w:vAlign w:val="center"/>
          </w:tcPr>
          <w:p>
            <w:pPr>
              <w:keepNext w:val="0"/>
              <w:keepLines w:val="0"/>
              <w:widowControl/>
              <w:suppressLineNumbers w:val="0"/>
              <w:jc w:val="center"/>
              <w:textAlignment w:val="center"/>
              <w:rPr>
                <w:rFonts w:hint="eastAsia" w:ascii="宋体" w:hAnsi="宋体" w:eastAsia="宋体" w:cs="宋体"/>
                <w:sz w:val="30"/>
                <w:szCs w:val="30"/>
                <w:vertAlign w:val="baseline"/>
              </w:rPr>
            </w:pPr>
            <w:r>
              <w:rPr>
                <w:rFonts w:hint="eastAsia" w:ascii="宋体" w:hAnsi="宋体" w:eastAsia="宋体" w:cs="宋体"/>
                <w:i w:val="0"/>
                <w:color w:val="323232"/>
                <w:kern w:val="0"/>
                <w:sz w:val="30"/>
                <w:szCs w:val="30"/>
                <w:u w:val="none"/>
                <w:lang w:val="en-US" w:eastAsia="zh-CN" w:bidi="ar"/>
              </w:rPr>
              <w:t>400</w:t>
            </w:r>
          </w:p>
        </w:tc>
        <w:tc>
          <w:tcPr>
            <w:tcW w:w="85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具</w:t>
            </w:r>
          </w:p>
        </w:tc>
        <w:tc>
          <w:tcPr>
            <w:tcW w:w="1590" w:type="dxa"/>
            <w:vAlign w:val="center"/>
          </w:tcPr>
          <w:p>
            <w:pPr>
              <w:keepNext w:val="0"/>
              <w:keepLines w:val="0"/>
              <w:widowControl/>
              <w:suppressLineNumbers w:val="0"/>
              <w:jc w:val="center"/>
              <w:textAlignment w:val="center"/>
              <w:rPr>
                <w:rFonts w:hint="eastAsia" w:ascii="宋体" w:hAnsi="宋体" w:eastAsia="宋体" w:cs="宋体"/>
                <w:sz w:val="30"/>
                <w:szCs w:val="30"/>
                <w:vertAlign w:val="baseline"/>
              </w:rPr>
            </w:pPr>
            <w:r>
              <w:rPr>
                <w:rFonts w:hint="eastAsia" w:ascii="宋体" w:hAnsi="宋体" w:eastAsia="宋体" w:cs="宋体"/>
                <w:i w:val="0"/>
                <w:color w:val="323232"/>
                <w:kern w:val="0"/>
                <w:sz w:val="30"/>
                <w:szCs w:val="30"/>
                <w:u w:val="none"/>
                <w:lang w:val="en-US" w:eastAsia="zh-CN" w:bidi="ar"/>
              </w:rPr>
              <w:t>MFZ/ABC4公斤</w:t>
            </w:r>
          </w:p>
        </w:tc>
        <w:tc>
          <w:tcPr>
            <w:tcW w:w="166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center"/>
              <w:textAlignment w:val="auto"/>
              <w:outlineLvl w:val="9"/>
              <w:rPr>
                <w:rFonts w:hint="default" w:ascii="宋体" w:hAnsi="宋体" w:eastAsia="宋体" w:cs="宋体"/>
                <w:sz w:val="30"/>
                <w:szCs w:val="30"/>
                <w:vertAlign w:val="baseline"/>
                <w:lang w:val="en-US" w:eastAsia="zh-CN"/>
              </w:rPr>
            </w:pPr>
            <w:r>
              <w:rPr>
                <w:rFonts w:hint="eastAsia" w:ascii="宋体" w:hAnsi="宋体" w:cs="宋体"/>
                <w:sz w:val="30"/>
                <w:szCs w:val="30"/>
                <w:vertAlign w:val="baseline"/>
                <w:lang w:val="en-US" w:eastAsia="zh-CN"/>
              </w:rPr>
              <w:t>68元/具</w:t>
            </w:r>
          </w:p>
        </w:tc>
        <w:tc>
          <w:tcPr>
            <w:tcW w:w="199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27200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0" w:type="dxa"/>
            <w:vAlign w:val="center"/>
          </w:tcPr>
          <w:p>
            <w:pPr>
              <w:keepNext w:val="0"/>
              <w:keepLines w:val="0"/>
              <w:widowControl/>
              <w:suppressLineNumbers w:val="0"/>
              <w:jc w:val="center"/>
              <w:textAlignment w:val="center"/>
              <w:rPr>
                <w:rFonts w:hint="eastAsia" w:ascii="宋体" w:hAnsi="宋体" w:eastAsia="宋体" w:cs="宋体"/>
                <w:sz w:val="30"/>
                <w:szCs w:val="30"/>
                <w:vertAlign w:val="baseline"/>
              </w:rPr>
            </w:pPr>
            <w:r>
              <w:rPr>
                <w:rFonts w:hint="eastAsia" w:ascii="宋体" w:hAnsi="宋体" w:eastAsia="宋体" w:cs="宋体"/>
                <w:i w:val="0"/>
                <w:color w:val="323232"/>
                <w:kern w:val="0"/>
                <w:sz w:val="30"/>
                <w:szCs w:val="30"/>
                <w:u w:val="none"/>
                <w:lang w:val="en-US" w:eastAsia="zh-CN" w:bidi="ar"/>
              </w:rPr>
              <w:t>二氧化碳灭火器</w:t>
            </w:r>
          </w:p>
        </w:tc>
        <w:tc>
          <w:tcPr>
            <w:tcW w:w="1020" w:type="dxa"/>
            <w:vAlign w:val="center"/>
          </w:tcPr>
          <w:p>
            <w:pPr>
              <w:keepNext w:val="0"/>
              <w:keepLines w:val="0"/>
              <w:widowControl/>
              <w:suppressLineNumbers w:val="0"/>
              <w:jc w:val="center"/>
              <w:textAlignment w:val="center"/>
              <w:rPr>
                <w:rFonts w:hint="eastAsia" w:ascii="宋体" w:hAnsi="宋体" w:eastAsia="宋体" w:cs="宋体"/>
                <w:sz w:val="30"/>
                <w:szCs w:val="30"/>
                <w:vertAlign w:val="baseline"/>
              </w:rPr>
            </w:pPr>
            <w:r>
              <w:rPr>
                <w:rFonts w:hint="eastAsia" w:ascii="宋体" w:hAnsi="宋体" w:eastAsia="宋体" w:cs="宋体"/>
                <w:i w:val="0"/>
                <w:color w:val="323232"/>
                <w:kern w:val="0"/>
                <w:sz w:val="30"/>
                <w:szCs w:val="30"/>
                <w:u w:val="none"/>
                <w:lang w:val="en-US" w:eastAsia="zh-CN" w:bidi="ar"/>
              </w:rPr>
              <w:t>150</w:t>
            </w:r>
          </w:p>
        </w:tc>
        <w:tc>
          <w:tcPr>
            <w:tcW w:w="85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具</w:t>
            </w:r>
          </w:p>
        </w:tc>
        <w:tc>
          <w:tcPr>
            <w:tcW w:w="1590" w:type="dxa"/>
            <w:vAlign w:val="center"/>
          </w:tcPr>
          <w:p>
            <w:pPr>
              <w:keepNext w:val="0"/>
              <w:keepLines w:val="0"/>
              <w:widowControl/>
              <w:suppressLineNumbers w:val="0"/>
              <w:jc w:val="center"/>
              <w:textAlignment w:val="center"/>
              <w:rPr>
                <w:rFonts w:hint="eastAsia" w:ascii="宋体" w:hAnsi="宋体" w:eastAsia="宋体" w:cs="宋体"/>
                <w:sz w:val="30"/>
                <w:szCs w:val="30"/>
                <w:vertAlign w:val="baseline"/>
              </w:rPr>
            </w:pPr>
            <w:r>
              <w:rPr>
                <w:rFonts w:hint="eastAsia" w:ascii="宋体" w:hAnsi="宋体" w:eastAsia="宋体" w:cs="宋体"/>
                <w:i w:val="0"/>
                <w:color w:val="323232"/>
                <w:kern w:val="0"/>
                <w:sz w:val="30"/>
                <w:szCs w:val="30"/>
                <w:u w:val="none"/>
                <w:lang w:val="en-US" w:eastAsia="zh-CN" w:bidi="ar"/>
              </w:rPr>
              <w:t>MT/2公斤</w:t>
            </w:r>
          </w:p>
        </w:tc>
        <w:tc>
          <w:tcPr>
            <w:tcW w:w="166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宋体" w:hAnsi="宋体" w:eastAsia="宋体" w:cs="宋体"/>
                <w:sz w:val="30"/>
                <w:szCs w:val="30"/>
                <w:vertAlign w:val="baseline"/>
                <w:lang w:val="en-US" w:eastAsia="zh-CN"/>
              </w:rPr>
            </w:pPr>
            <w:r>
              <w:rPr>
                <w:rFonts w:hint="eastAsia" w:ascii="宋体" w:hAnsi="宋体" w:cs="宋体"/>
                <w:sz w:val="30"/>
                <w:szCs w:val="30"/>
                <w:vertAlign w:val="baseline"/>
                <w:lang w:val="en-US" w:eastAsia="zh-CN"/>
              </w:rPr>
              <w:t>138元/具</w:t>
            </w:r>
          </w:p>
        </w:tc>
        <w:tc>
          <w:tcPr>
            <w:tcW w:w="199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20700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0" w:type="dxa"/>
            <w:vAlign w:val="center"/>
          </w:tcPr>
          <w:p>
            <w:pPr>
              <w:keepNext w:val="0"/>
              <w:keepLines w:val="0"/>
              <w:widowControl/>
              <w:suppressLineNumbers w:val="0"/>
              <w:jc w:val="center"/>
              <w:textAlignment w:val="center"/>
              <w:rPr>
                <w:rFonts w:hint="eastAsia" w:ascii="宋体" w:hAnsi="宋体" w:eastAsia="宋体" w:cs="宋体"/>
                <w:sz w:val="30"/>
                <w:szCs w:val="30"/>
                <w:vertAlign w:val="baseline"/>
              </w:rPr>
            </w:pPr>
            <w:r>
              <w:rPr>
                <w:rFonts w:hint="eastAsia" w:ascii="宋体" w:hAnsi="宋体" w:eastAsia="宋体" w:cs="宋体"/>
                <w:i w:val="0"/>
                <w:color w:val="323232"/>
                <w:kern w:val="0"/>
                <w:sz w:val="30"/>
                <w:szCs w:val="30"/>
                <w:u w:val="none"/>
                <w:lang w:val="en-US" w:eastAsia="zh-CN" w:bidi="ar"/>
              </w:rPr>
              <w:t>灭火器箱</w:t>
            </w:r>
          </w:p>
        </w:tc>
        <w:tc>
          <w:tcPr>
            <w:tcW w:w="1020" w:type="dxa"/>
            <w:vAlign w:val="center"/>
          </w:tcPr>
          <w:p>
            <w:pPr>
              <w:keepNext w:val="0"/>
              <w:keepLines w:val="0"/>
              <w:widowControl/>
              <w:suppressLineNumbers w:val="0"/>
              <w:jc w:val="center"/>
              <w:textAlignment w:val="center"/>
              <w:rPr>
                <w:rFonts w:hint="eastAsia" w:ascii="宋体" w:hAnsi="宋体" w:eastAsia="宋体" w:cs="宋体"/>
                <w:sz w:val="30"/>
                <w:szCs w:val="30"/>
                <w:vertAlign w:val="baseline"/>
              </w:rPr>
            </w:pPr>
            <w:r>
              <w:rPr>
                <w:rFonts w:hint="eastAsia" w:ascii="宋体" w:hAnsi="宋体" w:eastAsia="宋体" w:cs="宋体"/>
                <w:i w:val="0"/>
                <w:color w:val="323232"/>
                <w:kern w:val="0"/>
                <w:sz w:val="30"/>
                <w:szCs w:val="30"/>
                <w:u w:val="none"/>
                <w:lang w:val="en-US" w:eastAsia="zh-CN" w:bidi="ar"/>
              </w:rPr>
              <w:t>375</w:t>
            </w:r>
          </w:p>
        </w:tc>
        <w:tc>
          <w:tcPr>
            <w:tcW w:w="85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个</w:t>
            </w:r>
          </w:p>
        </w:tc>
        <w:tc>
          <w:tcPr>
            <w:tcW w:w="1590" w:type="dxa"/>
            <w:vAlign w:val="center"/>
          </w:tcPr>
          <w:p>
            <w:pPr>
              <w:keepNext w:val="0"/>
              <w:keepLines w:val="0"/>
              <w:widowControl/>
              <w:suppressLineNumbers w:val="0"/>
              <w:jc w:val="center"/>
              <w:textAlignment w:val="center"/>
              <w:rPr>
                <w:rFonts w:hint="eastAsia" w:ascii="宋体" w:hAnsi="宋体" w:eastAsia="宋体" w:cs="宋体"/>
                <w:sz w:val="30"/>
                <w:szCs w:val="30"/>
                <w:vertAlign w:val="baseline"/>
              </w:rPr>
            </w:pPr>
            <w:r>
              <w:rPr>
                <w:rFonts w:hint="eastAsia" w:ascii="宋体" w:hAnsi="宋体" w:eastAsia="宋体" w:cs="宋体"/>
                <w:i w:val="0"/>
                <w:color w:val="323232"/>
                <w:kern w:val="0"/>
                <w:sz w:val="30"/>
                <w:szCs w:val="30"/>
                <w:u w:val="none"/>
                <w:lang w:val="en-US" w:eastAsia="zh-CN" w:bidi="ar"/>
              </w:rPr>
              <w:t>4*2</w:t>
            </w:r>
          </w:p>
        </w:tc>
        <w:tc>
          <w:tcPr>
            <w:tcW w:w="166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宋体" w:hAnsi="宋体" w:eastAsia="宋体" w:cs="宋体"/>
                <w:sz w:val="30"/>
                <w:szCs w:val="30"/>
                <w:vertAlign w:val="baseline"/>
                <w:lang w:val="en-US" w:eastAsia="zh-CN"/>
              </w:rPr>
            </w:pPr>
            <w:r>
              <w:rPr>
                <w:rFonts w:hint="eastAsia" w:ascii="宋体" w:hAnsi="宋体" w:cs="宋体"/>
                <w:sz w:val="30"/>
                <w:szCs w:val="30"/>
                <w:vertAlign w:val="baseline"/>
                <w:lang w:val="en-US" w:eastAsia="zh-CN"/>
              </w:rPr>
              <w:t>58元/个</w:t>
            </w:r>
          </w:p>
        </w:tc>
        <w:tc>
          <w:tcPr>
            <w:tcW w:w="199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21750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0" w:type="dxa"/>
            <w:vAlign w:val="center"/>
          </w:tcPr>
          <w:p>
            <w:pPr>
              <w:keepNext w:val="0"/>
              <w:keepLines w:val="0"/>
              <w:widowControl/>
              <w:suppressLineNumbers w:val="0"/>
              <w:jc w:val="center"/>
              <w:textAlignment w:val="center"/>
              <w:rPr>
                <w:rFonts w:hint="eastAsia" w:ascii="宋体" w:hAnsi="宋体" w:eastAsia="宋体" w:cs="宋体"/>
                <w:sz w:val="30"/>
                <w:szCs w:val="30"/>
                <w:vertAlign w:val="baseline"/>
              </w:rPr>
            </w:pPr>
            <w:r>
              <w:rPr>
                <w:rFonts w:hint="eastAsia" w:ascii="宋体" w:hAnsi="宋体" w:eastAsia="宋体" w:cs="宋体"/>
                <w:i w:val="0"/>
                <w:color w:val="323232"/>
                <w:kern w:val="0"/>
                <w:sz w:val="30"/>
                <w:szCs w:val="30"/>
                <w:u w:val="none"/>
                <w:lang w:val="en-US" w:eastAsia="zh-CN" w:bidi="ar"/>
              </w:rPr>
              <w:t>干粉灭火器ABC</w:t>
            </w:r>
          </w:p>
        </w:tc>
        <w:tc>
          <w:tcPr>
            <w:tcW w:w="1020" w:type="dxa"/>
            <w:vAlign w:val="center"/>
          </w:tcPr>
          <w:p>
            <w:pPr>
              <w:keepNext w:val="0"/>
              <w:keepLines w:val="0"/>
              <w:widowControl/>
              <w:suppressLineNumbers w:val="0"/>
              <w:jc w:val="center"/>
              <w:textAlignment w:val="center"/>
              <w:rPr>
                <w:rFonts w:hint="eastAsia" w:ascii="宋体" w:hAnsi="宋体" w:eastAsia="宋体" w:cs="宋体"/>
                <w:sz w:val="30"/>
                <w:szCs w:val="30"/>
                <w:vertAlign w:val="baseline"/>
              </w:rPr>
            </w:pPr>
            <w:r>
              <w:rPr>
                <w:rFonts w:hint="eastAsia" w:ascii="宋体" w:hAnsi="宋体" w:eastAsia="宋体" w:cs="宋体"/>
                <w:i w:val="0"/>
                <w:color w:val="323232"/>
                <w:kern w:val="0"/>
                <w:sz w:val="30"/>
                <w:szCs w:val="30"/>
                <w:u w:val="none"/>
                <w:lang w:val="en-US" w:eastAsia="zh-CN" w:bidi="ar"/>
              </w:rPr>
              <w:t>600</w:t>
            </w:r>
          </w:p>
        </w:tc>
        <w:tc>
          <w:tcPr>
            <w:tcW w:w="85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具</w:t>
            </w:r>
          </w:p>
        </w:tc>
        <w:tc>
          <w:tcPr>
            <w:tcW w:w="1590" w:type="dxa"/>
            <w:vAlign w:val="center"/>
          </w:tcPr>
          <w:p>
            <w:pPr>
              <w:keepNext w:val="0"/>
              <w:keepLines w:val="0"/>
              <w:widowControl/>
              <w:suppressLineNumbers w:val="0"/>
              <w:jc w:val="center"/>
              <w:textAlignment w:val="center"/>
              <w:rPr>
                <w:rFonts w:hint="eastAsia" w:ascii="宋体" w:hAnsi="宋体" w:eastAsia="宋体" w:cs="宋体"/>
                <w:sz w:val="30"/>
                <w:szCs w:val="30"/>
                <w:vertAlign w:val="baseline"/>
              </w:rPr>
            </w:pPr>
            <w:r>
              <w:rPr>
                <w:rFonts w:hint="eastAsia" w:ascii="宋体" w:hAnsi="宋体" w:eastAsia="宋体" w:cs="宋体"/>
                <w:i w:val="0"/>
                <w:color w:val="323232"/>
                <w:kern w:val="0"/>
                <w:sz w:val="30"/>
                <w:szCs w:val="30"/>
                <w:u w:val="none"/>
                <w:lang w:val="en-US" w:eastAsia="zh-CN" w:bidi="ar"/>
              </w:rPr>
              <w:t>MFZ/ABC2公斤</w:t>
            </w:r>
          </w:p>
        </w:tc>
        <w:tc>
          <w:tcPr>
            <w:tcW w:w="166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宋体" w:hAnsi="宋体" w:eastAsia="宋体" w:cs="宋体"/>
                <w:color w:val="auto"/>
                <w:sz w:val="30"/>
                <w:szCs w:val="30"/>
                <w:vertAlign w:val="baseline"/>
                <w:lang w:val="en-US" w:eastAsia="zh-CN"/>
              </w:rPr>
            </w:pPr>
            <w:r>
              <w:rPr>
                <w:rFonts w:hint="eastAsia" w:ascii="宋体" w:hAnsi="宋体" w:cs="宋体"/>
                <w:color w:val="auto"/>
                <w:sz w:val="30"/>
                <w:szCs w:val="30"/>
                <w:vertAlign w:val="baseline"/>
                <w:lang w:val="en-US" w:eastAsia="zh-CN"/>
              </w:rPr>
              <w:t>58</w:t>
            </w:r>
            <w:r>
              <w:rPr>
                <w:rFonts w:hint="eastAsia" w:ascii="宋体" w:hAnsi="宋体" w:cs="宋体"/>
                <w:sz w:val="30"/>
                <w:szCs w:val="30"/>
                <w:vertAlign w:val="baseline"/>
                <w:lang w:val="en-US" w:eastAsia="zh-CN"/>
              </w:rPr>
              <w:t>元/具</w:t>
            </w:r>
          </w:p>
        </w:tc>
        <w:tc>
          <w:tcPr>
            <w:tcW w:w="199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vertAlign w:val="baseline"/>
                <w:lang w:val="en-US" w:eastAsia="zh-CN"/>
              </w:rPr>
              <w:t>34800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0" w:type="dxa"/>
            <w:vAlign w:val="center"/>
          </w:tcPr>
          <w:p>
            <w:pPr>
              <w:keepNext w:val="0"/>
              <w:keepLines w:val="0"/>
              <w:widowControl/>
              <w:suppressLineNumbers w:val="0"/>
              <w:jc w:val="center"/>
              <w:textAlignment w:val="center"/>
              <w:rPr>
                <w:rFonts w:hint="eastAsia" w:ascii="宋体" w:hAnsi="宋体" w:eastAsia="宋体" w:cs="宋体"/>
                <w:sz w:val="30"/>
                <w:szCs w:val="30"/>
                <w:vertAlign w:val="baseline"/>
              </w:rPr>
            </w:pPr>
            <w:r>
              <w:rPr>
                <w:rFonts w:hint="eastAsia" w:ascii="宋体" w:hAnsi="宋体" w:eastAsia="宋体" w:cs="宋体"/>
                <w:i w:val="0"/>
                <w:color w:val="323232"/>
                <w:kern w:val="0"/>
                <w:sz w:val="30"/>
                <w:szCs w:val="30"/>
                <w:u w:val="none"/>
                <w:lang w:val="en-US" w:eastAsia="zh-CN" w:bidi="ar"/>
              </w:rPr>
              <w:t>无磁性灭火器</w:t>
            </w:r>
          </w:p>
        </w:tc>
        <w:tc>
          <w:tcPr>
            <w:tcW w:w="1020" w:type="dxa"/>
            <w:vAlign w:val="center"/>
          </w:tcPr>
          <w:p>
            <w:pPr>
              <w:keepNext w:val="0"/>
              <w:keepLines w:val="0"/>
              <w:widowControl/>
              <w:suppressLineNumbers w:val="0"/>
              <w:jc w:val="center"/>
              <w:textAlignment w:val="center"/>
              <w:rPr>
                <w:rFonts w:hint="eastAsia" w:ascii="宋体" w:hAnsi="宋体" w:eastAsia="宋体" w:cs="宋体"/>
                <w:sz w:val="30"/>
                <w:szCs w:val="30"/>
                <w:vertAlign w:val="baseline"/>
              </w:rPr>
            </w:pPr>
            <w:r>
              <w:rPr>
                <w:rFonts w:hint="eastAsia" w:ascii="宋体" w:hAnsi="宋体" w:eastAsia="宋体" w:cs="宋体"/>
                <w:i w:val="0"/>
                <w:color w:val="323232"/>
                <w:kern w:val="0"/>
                <w:sz w:val="30"/>
                <w:szCs w:val="30"/>
                <w:u w:val="none"/>
                <w:lang w:val="en-US" w:eastAsia="zh-CN" w:bidi="ar"/>
              </w:rPr>
              <w:t>4</w:t>
            </w:r>
          </w:p>
        </w:tc>
        <w:tc>
          <w:tcPr>
            <w:tcW w:w="85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具</w:t>
            </w:r>
          </w:p>
        </w:tc>
        <w:tc>
          <w:tcPr>
            <w:tcW w:w="1590" w:type="dxa"/>
            <w:vAlign w:val="center"/>
          </w:tcPr>
          <w:p>
            <w:pPr>
              <w:keepNext w:val="0"/>
              <w:keepLines w:val="0"/>
              <w:widowControl/>
              <w:suppressLineNumbers w:val="0"/>
              <w:jc w:val="center"/>
              <w:textAlignment w:val="center"/>
              <w:rPr>
                <w:rFonts w:hint="eastAsia" w:ascii="宋体" w:hAnsi="宋体" w:eastAsia="宋体" w:cs="宋体"/>
                <w:sz w:val="30"/>
                <w:szCs w:val="30"/>
                <w:vertAlign w:val="baseline"/>
              </w:rPr>
            </w:pPr>
            <w:r>
              <w:rPr>
                <w:rFonts w:hint="eastAsia" w:ascii="宋体" w:hAnsi="宋体" w:eastAsia="宋体" w:cs="宋体"/>
                <w:i w:val="0"/>
                <w:color w:val="323232"/>
                <w:kern w:val="0"/>
                <w:sz w:val="30"/>
                <w:szCs w:val="30"/>
                <w:u w:val="none"/>
                <w:lang w:val="en-US" w:eastAsia="zh-CN" w:bidi="ar"/>
              </w:rPr>
              <w:t>FE13NM</w:t>
            </w:r>
          </w:p>
        </w:tc>
        <w:tc>
          <w:tcPr>
            <w:tcW w:w="166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宋体" w:hAnsi="宋体" w:eastAsia="宋体" w:cs="宋体"/>
                <w:color w:val="auto"/>
                <w:sz w:val="30"/>
                <w:szCs w:val="30"/>
                <w:vertAlign w:val="baseline"/>
                <w:lang w:val="en-US" w:eastAsia="zh-CN"/>
              </w:rPr>
            </w:pPr>
            <w:r>
              <w:rPr>
                <w:rFonts w:hint="eastAsia" w:ascii="宋体" w:hAnsi="宋体" w:cs="宋体"/>
                <w:color w:val="auto"/>
                <w:sz w:val="30"/>
                <w:szCs w:val="30"/>
                <w:vertAlign w:val="baseline"/>
                <w:lang w:val="en-US" w:eastAsia="zh-CN"/>
              </w:rPr>
              <w:t>16140</w:t>
            </w:r>
            <w:r>
              <w:rPr>
                <w:rFonts w:hint="eastAsia" w:ascii="宋体" w:hAnsi="宋体" w:cs="宋体"/>
                <w:sz w:val="30"/>
                <w:szCs w:val="30"/>
                <w:vertAlign w:val="baseline"/>
                <w:lang w:val="en-US" w:eastAsia="zh-CN"/>
              </w:rPr>
              <w:t>元/具</w:t>
            </w:r>
          </w:p>
        </w:tc>
        <w:tc>
          <w:tcPr>
            <w:tcW w:w="199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vertAlign w:val="baseline"/>
                <w:lang w:val="en-US" w:eastAsia="zh-CN"/>
              </w:rPr>
              <w:t>64560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推车式二氧化碳灭火器</w:t>
            </w:r>
          </w:p>
        </w:tc>
        <w:tc>
          <w:tcPr>
            <w:tcW w:w="102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5</w:t>
            </w:r>
          </w:p>
        </w:tc>
        <w:tc>
          <w:tcPr>
            <w:tcW w:w="85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具</w:t>
            </w:r>
          </w:p>
        </w:tc>
        <w:tc>
          <w:tcPr>
            <w:tcW w:w="159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MTT/24公斤</w:t>
            </w:r>
          </w:p>
        </w:tc>
        <w:tc>
          <w:tcPr>
            <w:tcW w:w="166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宋体" w:hAnsi="宋体" w:eastAsia="宋体" w:cs="宋体"/>
                <w:color w:val="auto"/>
                <w:sz w:val="30"/>
                <w:szCs w:val="30"/>
                <w:vertAlign w:val="baseline"/>
                <w:lang w:val="en-US" w:eastAsia="zh-CN"/>
              </w:rPr>
            </w:pPr>
            <w:r>
              <w:rPr>
                <w:rFonts w:hint="eastAsia" w:ascii="宋体" w:hAnsi="宋体" w:cs="宋体"/>
                <w:color w:val="auto"/>
                <w:sz w:val="30"/>
                <w:szCs w:val="30"/>
                <w:vertAlign w:val="baseline"/>
                <w:lang w:val="en-US" w:eastAsia="zh-CN"/>
              </w:rPr>
              <w:t>3378</w:t>
            </w:r>
            <w:r>
              <w:rPr>
                <w:rFonts w:hint="eastAsia" w:ascii="宋体" w:hAnsi="宋体" w:cs="宋体"/>
                <w:sz w:val="30"/>
                <w:szCs w:val="30"/>
                <w:vertAlign w:val="baseline"/>
                <w:lang w:val="en-US" w:eastAsia="zh-CN"/>
              </w:rPr>
              <w:t>元/具</w:t>
            </w:r>
          </w:p>
        </w:tc>
        <w:tc>
          <w:tcPr>
            <w:tcW w:w="199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vertAlign w:val="baseline"/>
                <w:lang w:val="en-US" w:eastAsia="zh-CN"/>
              </w:rPr>
              <w:t>16890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消防应急箱体</w:t>
            </w:r>
          </w:p>
        </w:tc>
        <w:tc>
          <w:tcPr>
            <w:tcW w:w="102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90</w:t>
            </w:r>
          </w:p>
        </w:tc>
        <w:tc>
          <w:tcPr>
            <w:tcW w:w="85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个</w:t>
            </w:r>
          </w:p>
        </w:tc>
        <w:tc>
          <w:tcPr>
            <w:tcW w:w="159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45.5*34*15MM</w:t>
            </w:r>
          </w:p>
        </w:tc>
        <w:tc>
          <w:tcPr>
            <w:tcW w:w="166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宋体" w:hAnsi="宋体" w:eastAsia="宋体" w:cs="宋体"/>
                <w:color w:val="auto"/>
                <w:sz w:val="30"/>
                <w:szCs w:val="30"/>
                <w:vertAlign w:val="baseline"/>
                <w:lang w:val="en-US" w:eastAsia="zh-CN"/>
              </w:rPr>
            </w:pPr>
            <w:r>
              <w:rPr>
                <w:rFonts w:hint="eastAsia" w:ascii="宋体" w:hAnsi="宋体" w:cs="宋体"/>
                <w:color w:val="auto"/>
                <w:sz w:val="30"/>
                <w:szCs w:val="30"/>
                <w:vertAlign w:val="baseline"/>
                <w:lang w:val="en-US" w:eastAsia="zh-CN"/>
              </w:rPr>
              <w:t>120</w:t>
            </w:r>
            <w:r>
              <w:rPr>
                <w:rFonts w:hint="eastAsia" w:ascii="宋体" w:hAnsi="宋体" w:cs="宋体"/>
                <w:sz w:val="30"/>
                <w:szCs w:val="30"/>
                <w:vertAlign w:val="baseline"/>
                <w:lang w:val="en-US" w:eastAsia="zh-CN"/>
              </w:rPr>
              <w:t>元/个</w:t>
            </w:r>
          </w:p>
        </w:tc>
        <w:tc>
          <w:tcPr>
            <w:tcW w:w="199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vertAlign w:val="baseline"/>
                <w:lang w:val="en-US" w:eastAsia="zh-CN"/>
              </w:rPr>
              <w:t>10800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过滤式消防自救呼吸器</w:t>
            </w:r>
          </w:p>
        </w:tc>
        <w:tc>
          <w:tcPr>
            <w:tcW w:w="102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180</w:t>
            </w:r>
          </w:p>
        </w:tc>
        <w:tc>
          <w:tcPr>
            <w:tcW w:w="85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个</w:t>
            </w:r>
          </w:p>
        </w:tc>
        <w:tc>
          <w:tcPr>
            <w:tcW w:w="159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TZL30</w:t>
            </w:r>
          </w:p>
        </w:tc>
        <w:tc>
          <w:tcPr>
            <w:tcW w:w="166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宋体" w:hAnsi="宋体" w:eastAsia="宋体" w:cs="宋体"/>
                <w:color w:val="auto"/>
                <w:sz w:val="30"/>
                <w:szCs w:val="30"/>
                <w:vertAlign w:val="baseline"/>
                <w:lang w:val="en-US" w:eastAsia="zh-CN"/>
              </w:rPr>
            </w:pPr>
            <w:r>
              <w:rPr>
                <w:rFonts w:hint="eastAsia" w:ascii="宋体" w:hAnsi="宋体" w:cs="宋体"/>
                <w:color w:val="auto"/>
                <w:sz w:val="30"/>
                <w:szCs w:val="30"/>
                <w:vertAlign w:val="baseline"/>
                <w:lang w:val="en-US" w:eastAsia="zh-CN"/>
              </w:rPr>
              <w:t>60</w:t>
            </w:r>
            <w:r>
              <w:rPr>
                <w:rFonts w:hint="eastAsia" w:ascii="宋体" w:hAnsi="宋体" w:cs="宋体"/>
                <w:sz w:val="30"/>
                <w:szCs w:val="30"/>
                <w:vertAlign w:val="baseline"/>
                <w:lang w:val="en-US" w:eastAsia="zh-CN"/>
              </w:rPr>
              <w:t>元/个</w:t>
            </w:r>
          </w:p>
        </w:tc>
        <w:tc>
          <w:tcPr>
            <w:tcW w:w="199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vertAlign w:val="baseline"/>
                <w:lang w:val="en-US" w:eastAsia="zh-CN"/>
              </w:rPr>
              <w:t>10800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指挥棒</w:t>
            </w:r>
          </w:p>
        </w:tc>
        <w:tc>
          <w:tcPr>
            <w:tcW w:w="102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90</w:t>
            </w:r>
          </w:p>
        </w:tc>
        <w:tc>
          <w:tcPr>
            <w:tcW w:w="85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个</w:t>
            </w:r>
          </w:p>
        </w:tc>
        <w:tc>
          <w:tcPr>
            <w:tcW w:w="159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充电式</w:t>
            </w:r>
          </w:p>
        </w:tc>
        <w:tc>
          <w:tcPr>
            <w:tcW w:w="166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宋体" w:hAnsi="宋体" w:eastAsia="宋体" w:cs="宋体"/>
                <w:color w:val="auto"/>
                <w:sz w:val="30"/>
                <w:szCs w:val="30"/>
                <w:vertAlign w:val="baseline"/>
                <w:lang w:val="en-US" w:eastAsia="zh-CN"/>
              </w:rPr>
            </w:pPr>
            <w:r>
              <w:rPr>
                <w:rFonts w:hint="eastAsia" w:ascii="宋体" w:hAnsi="宋体" w:cs="宋体"/>
                <w:color w:val="auto"/>
                <w:sz w:val="30"/>
                <w:szCs w:val="30"/>
                <w:vertAlign w:val="baseline"/>
                <w:lang w:val="en-US" w:eastAsia="zh-CN"/>
              </w:rPr>
              <w:t>82</w:t>
            </w:r>
            <w:r>
              <w:rPr>
                <w:rFonts w:hint="eastAsia" w:ascii="宋体" w:hAnsi="宋体" w:cs="宋体"/>
                <w:sz w:val="30"/>
                <w:szCs w:val="30"/>
                <w:vertAlign w:val="baseline"/>
                <w:lang w:val="en-US" w:eastAsia="zh-CN"/>
              </w:rPr>
              <w:t>元/个</w:t>
            </w:r>
          </w:p>
        </w:tc>
        <w:tc>
          <w:tcPr>
            <w:tcW w:w="199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vertAlign w:val="baseline"/>
                <w:lang w:val="en-US" w:eastAsia="zh-CN"/>
              </w:rPr>
              <w:t>7380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LED手电筒</w:t>
            </w:r>
          </w:p>
        </w:tc>
        <w:tc>
          <w:tcPr>
            <w:tcW w:w="102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90</w:t>
            </w:r>
          </w:p>
        </w:tc>
        <w:tc>
          <w:tcPr>
            <w:tcW w:w="85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个</w:t>
            </w:r>
          </w:p>
        </w:tc>
        <w:tc>
          <w:tcPr>
            <w:tcW w:w="159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p>
        </w:tc>
        <w:tc>
          <w:tcPr>
            <w:tcW w:w="166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宋体" w:hAnsi="宋体" w:eastAsia="宋体" w:cs="宋体"/>
                <w:color w:val="auto"/>
                <w:sz w:val="30"/>
                <w:szCs w:val="30"/>
                <w:vertAlign w:val="baseline"/>
                <w:lang w:val="en-US" w:eastAsia="zh-CN"/>
              </w:rPr>
            </w:pPr>
            <w:r>
              <w:rPr>
                <w:rFonts w:hint="eastAsia" w:ascii="宋体" w:hAnsi="宋体" w:cs="宋体"/>
                <w:color w:val="auto"/>
                <w:sz w:val="30"/>
                <w:szCs w:val="30"/>
                <w:vertAlign w:val="baseline"/>
                <w:lang w:val="en-US" w:eastAsia="zh-CN"/>
              </w:rPr>
              <w:t>85</w:t>
            </w:r>
            <w:r>
              <w:rPr>
                <w:rFonts w:hint="eastAsia" w:ascii="宋体" w:hAnsi="宋体" w:cs="宋体"/>
                <w:sz w:val="30"/>
                <w:szCs w:val="30"/>
                <w:vertAlign w:val="baseline"/>
                <w:lang w:val="en-US" w:eastAsia="zh-CN"/>
              </w:rPr>
              <w:t>元/个</w:t>
            </w:r>
          </w:p>
        </w:tc>
        <w:tc>
          <w:tcPr>
            <w:tcW w:w="199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vertAlign w:val="baseline"/>
                <w:lang w:val="en-US" w:eastAsia="zh-CN"/>
              </w:rPr>
              <w:t>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扩音器</w:t>
            </w:r>
          </w:p>
        </w:tc>
        <w:tc>
          <w:tcPr>
            <w:tcW w:w="102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90</w:t>
            </w:r>
          </w:p>
        </w:tc>
        <w:tc>
          <w:tcPr>
            <w:tcW w:w="85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个</w:t>
            </w:r>
          </w:p>
        </w:tc>
        <w:tc>
          <w:tcPr>
            <w:tcW w:w="1590"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sz w:val="30"/>
                <w:szCs w:val="30"/>
                <w:lang w:val="en-US" w:eastAsia="zh-CN"/>
              </w:rPr>
            </w:pPr>
          </w:p>
        </w:tc>
        <w:tc>
          <w:tcPr>
            <w:tcW w:w="166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宋体" w:hAnsi="宋体" w:eastAsia="宋体" w:cs="宋体"/>
                <w:color w:val="auto"/>
                <w:sz w:val="30"/>
                <w:szCs w:val="30"/>
                <w:vertAlign w:val="baseline"/>
                <w:lang w:val="en-US" w:eastAsia="zh-CN"/>
              </w:rPr>
            </w:pPr>
            <w:r>
              <w:rPr>
                <w:rFonts w:hint="eastAsia" w:ascii="宋体" w:hAnsi="宋体" w:cs="宋体"/>
                <w:color w:val="auto"/>
                <w:sz w:val="30"/>
                <w:szCs w:val="30"/>
                <w:vertAlign w:val="baseline"/>
                <w:lang w:val="en-US" w:eastAsia="zh-CN"/>
              </w:rPr>
              <w:t>68</w:t>
            </w:r>
            <w:r>
              <w:rPr>
                <w:rFonts w:hint="eastAsia" w:ascii="宋体" w:hAnsi="宋体" w:cs="宋体"/>
                <w:sz w:val="30"/>
                <w:szCs w:val="30"/>
                <w:vertAlign w:val="baseline"/>
                <w:lang w:val="en-US" w:eastAsia="zh-CN"/>
              </w:rPr>
              <w:t>元/个</w:t>
            </w:r>
          </w:p>
        </w:tc>
        <w:tc>
          <w:tcPr>
            <w:tcW w:w="199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30"/>
                <w:szCs w:val="30"/>
                <w:vertAlign w:val="baseline"/>
                <w:lang w:val="en-US" w:eastAsia="zh-CN"/>
              </w:rPr>
            </w:pPr>
            <w:r>
              <w:rPr>
                <w:rFonts w:hint="eastAsia" w:ascii="宋体" w:hAnsi="宋体" w:eastAsia="宋体" w:cs="宋体"/>
                <w:color w:val="auto"/>
                <w:sz w:val="30"/>
                <w:szCs w:val="30"/>
                <w:vertAlign w:val="baseline"/>
                <w:lang w:val="en-US" w:eastAsia="zh-CN"/>
              </w:rPr>
              <w:t>6120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哨子</w:t>
            </w:r>
          </w:p>
        </w:tc>
        <w:tc>
          <w:tcPr>
            <w:tcW w:w="102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90</w:t>
            </w:r>
          </w:p>
        </w:tc>
        <w:tc>
          <w:tcPr>
            <w:tcW w:w="85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个</w:t>
            </w:r>
          </w:p>
        </w:tc>
        <w:tc>
          <w:tcPr>
            <w:tcW w:w="1590"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sz w:val="30"/>
                <w:szCs w:val="30"/>
                <w:lang w:val="en-US" w:eastAsia="zh-CN"/>
              </w:rPr>
            </w:pPr>
          </w:p>
        </w:tc>
        <w:tc>
          <w:tcPr>
            <w:tcW w:w="166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宋体" w:hAnsi="宋体" w:eastAsia="宋体" w:cs="宋体"/>
                <w:sz w:val="30"/>
                <w:szCs w:val="30"/>
                <w:vertAlign w:val="baseline"/>
                <w:lang w:val="en-US" w:eastAsia="zh-CN"/>
              </w:rPr>
            </w:pPr>
            <w:r>
              <w:rPr>
                <w:rFonts w:hint="eastAsia" w:ascii="宋体" w:hAnsi="宋体" w:cs="宋体"/>
                <w:sz w:val="30"/>
                <w:szCs w:val="30"/>
                <w:vertAlign w:val="baseline"/>
                <w:lang w:val="en-US" w:eastAsia="zh-CN"/>
              </w:rPr>
              <w:t>15元/个</w:t>
            </w:r>
          </w:p>
        </w:tc>
        <w:tc>
          <w:tcPr>
            <w:tcW w:w="1995" w:type="dxa"/>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0" w:type="dxa"/>
            <w:vAlign w:val="center"/>
          </w:tcPr>
          <w:p>
            <w:pPr>
              <w:keepNext w:val="0"/>
              <w:keepLines w:val="0"/>
              <w:widowControl/>
              <w:suppressLineNumbers w:val="0"/>
              <w:jc w:val="center"/>
              <w:textAlignment w:val="center"/>
              <w:rPr>
                <w:rFonts w:hint="eastAsia" w:ascii="宋体" w:hAnsi="宋体" w:eastAsia="宋体" w:cs="宋体"/>
                <w:sz w:val="30"/>
                <w:szCs w:val="30"/>
                <w:lang w:val="en-US" w:eastAsia="zh-CN"/>
              </w:rPr>
            </w:pPr>
            <w:r>
              <w:rPr>
                <w:rFonts w:hint="eastAsia" w:ascii="宋体" w:hAnsi="宋体" w:eastAsia="宋体" w:cs="宋体"/>
                <w:i w:val="0"/>
                <w:color w:val="323232"/>
                <w:kern w:val="0"/>
                <w:sz w:val="30"/>
                <w:szCs w:val="30"/>
                <w:u w:val="none"/>
                <w:lang w:val="en-US" w:eastAsia="zh-CN" w:bidi="ar"/>
              </w:rPr>
              <w:t>合计</w:t>
            </w:r>
          </w:p>
        </w:tc>
        <w:tc>
          <w:tcPr>
            <w:tcW w:w="7125" w:type="dxa"/>
            <w:gridSpan w:val="5"/>
            <w:vAlign w:val="center"/>
          </w:tcPr>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230000</w:t>
            </w:r>
            <w:r>
              <w:rPr>
                <w:rFonts w:hint="eastAsia" w:ascii="宋体" w:hAnsi="宋体" w:cs="宋体"/>
                <w:sz w:val="30"/>
                <w:szCs w:val="30"/>
                <w:vertAlign w:val="baseline"/>
                <w:lang w:val="en-US" w:eastAsia="zh-CN"/>
              </w:rPr>
              <w:t>元</w:t>
            </w:r>
          </w:p>
        </w:tc>
      </w:tr>
    </w:tbl>
    <w:p>
      <w:pPr>
        <w:pStyle w:val="10"/>
        <w:spacing w:line="460" w:lineRule="exact"/>
        <w:ind w:left="0" w:leftChars="0" w:firstLine="0" w:firstLineChars="0"/>
        <w:rPr>
          <w:rFonts w:hint="eastAsia" w:ascii="宋体" w:hAnsi="宋体" w:cs="宋体"/>
          <w:b/>
          <w:bCs/>
          <w:sz w:val="30"/>
          <w:szCs w:val="30"/>
        </w:rPr>
      </w:pP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w:t>
      </w:r>
      <w:r>
        <w:rPr>
          <w:rFonts w:hint="eastAsia"/>
          <w:kern w:val="2"/>
          <w:sz w:val="30"/>
          <w:szCs w:val="30"/>
          <w:lang w:eastAsia="zh-CN"/>
        </w:rPr>
        <w:t>第</w:t>
      </w:r>
      <w:r>
        <w:rPr>
          <w:rFonts w:hint="eastAsia"/>
          <w:kern w:val="2"/>
          <w:sz w:val="30"/>
          <w:szCs w:val="30"/>
        </w:rPr>
        <w:t>一次报价。谈判顺序由现场抽签决定。</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highlight w:val="none"/>
        </w:rPr>
        <w:t>2、</w:t>
      </w:r>
      <w:r>
        <w:rPr>
          <w:rFonts w:hint="eastAsia"/>
          <w:kern w:val="2"/>
          <w:sz w:val="30"/>
          <w:szCs w:val="30"/>
        </w:rPr>
        <w:t>具有履行合同所必需的设备和专业技术能力（承诺书）。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US" w:eastAsia="zh-CN"/>
        </w:rPr>
        <w:t>4</w:t>
      </w:r>
      <w:r>
        <w:rPr>
          <w:rFonts w:hint="eastAsia"/>
          <w:kern w:val="2"/>
          <w:sz w:val="30"/>
          <w:szCs w:val="30"/>
        </w:rPr>
        <w:t>、参加采购活动前三年内，在经营活动中没有重大违法记录（书面声明）。</w:t>
      </w:r>
    </w:p>
    <w:p>
      <w:pPr>
        <w:pStyle w:val="16"/>
        <w:spacing w:before="0" w:beforeAutospacing="0" w:after="0" w:afterAutospacing="0" w:line="460" w:lineRule="exact"/>
        <w:ind w:firstLine="600" w:firstLineChars="200"/>
        <w:jc w:val="both"/>
        <w:rPr>
          <w:kern w:val="2"/>
          <w:sz w:val="30"/>
          <w:szCs w:val="30"/>
          <w:highlight w:val="yellow"/>
        </w:rPr>
      </w:pPr>
      <w:r>
        <w:rPr>
          <w:rFonts w:hint="eastAsia"/>
          <w:kern w:val="2"/>
          <w:sz w:val="30"/>
          <w:szCs w:val="30"/>
          <w:highlight w:val="yellow"/>
        </w:rPr>
        <w:t>（2）特定资格条件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1、所投货物</w:t>
      </w:r>
      <w:r>
        <w:rPr>
          <w:rFonts w:hint="eastAsia"/>
          <w:color w:val="auto"/>
          <w:kern w:val="2"/>
          <w:sz w:val="30"/>
          <w:szCs w:val="30"/>
          <w:highlight w:val="yellow"/>
        </w:rPr>
        <w:t>干粉灭火器ABC/4、二氧化碳灭火器、干粉灭火器ABC/2、无磁性灭火器、推车式二氧化碳灭火器、过滤式消防自救呼吸器</w:t>
      </w:r>
      <w:r>
        <w:rPr>
          <w:rFonts w:hint="eastAsia"/>
          <w:kern w:val="2"/>
          <w:sz w:val="30"/>
          <w:szCs w:val="30"/>
        </w:rPr>
        <w:t>须提供《产品型式检验报告》---（国家权威消防检验机构检验盖章）</w:t>
      </w:r>
      <w:r>
        <w:rPr>
          <w:rFonts w:hint="eastAsia"/>
          <w:kern w:val="2"/>
          <w:sz w:val="30"/>
          <w:szCs w:val="30"/>
          <w:lang w:eastAsia="zh-CN"/>
        </w:rPr>
        <w:t>及</w:t>
      </w:r>
      <w:r>
        <w:rPr>
          <w:rFonts w:hint="eastAsia"/>
          <w:kern w:val="2"/>
          <w:sz w:val="30"/>
          <w:szCs w:val="30"/>
        </w:rPr>
        <w:t>《产品出厂合格证》。</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w:t>
      </w:r>
      <w:r>
        <w:rPr>
          <w:rFonts w:hint="eastAsia"/>
          <w:kern w:val="2"/>
          <w:sz w:val="30"/>
          <w:szCs w:val="30"/>
          <w:highlight w:val="yellow"/>
        </w:rPr>
        <w:t>（2019年0</w:t>
      </w:r>
      <w:r>
        <w:rPr>
          <w:rFonts w:hint="eastAsia"/>
          <w:kern w:val="2"/>
          <w:sz w:val="30"/>
          <w:szCs w:val="30"/>
          <w:highlight w:val="yellow"/>
          <w:lang w:val="en-US" w:eastAsia="zh-CN"/>
        </w:rPr>
        <w:t>5</w:t>
      </w:r>
      <w:r>
        <w:rPr>
          <w:rFonts w:hint="eastAsia"/>
          <w:kern w:val="2"/>
          <w:sz w:val="30"/>
          <w:szCs w:val="30"/>
          <w:highlight w:val="yellow"/>
        </w:rPr>
        <w:t>月</w:t>
      </w:r>
      <w:r>
        <w:rPr>
          <w:rFonts w:hint="eastAsia"/>
          <w:kern w:val="2"/>
          <w:sz w:val="30"/>
          <w:szCs w:val="30"/>
          <w:highlight w:val="yellow"/>
          <w:lang w:val="en-US" w:eastAsia="zh-CN"/>
        </w:rPr>
        <w:t>31</w:t>
      </w:r>
      <w:r>
        <w:rPr>
          <w:rFonts w:hint="eastAsia"/>
          <w:kern w:val="2"/>
          <w:sz w:val="30"/>
          <w:szCs w:val="30"/>
          <w:highlight w:val="yellow"/>
        </w:rPr>
        <w:t>日）</w:t>
      </w:r>
      <w:r>
        <w:rPr>
          <w:rFonts w:hint="eastAsia"/>
          <w:kern w:val="2"/>
          <w:sz w:val="30"/>
          <w:szCs w:val="30"/>
        </w:rPr>
        <w:t>起三个工作日。</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（七）谈判文件的购买：</w:t>
      </w:r>
      <w:r>
        <w:rPr>
          <w:rFonts w:hint="eastAsia"/>
          <w:kern w:val="2"/>
          <w:sz w:val="30"/>
          <w:szCs w:val="30"/>
          <w:highlight w:val="yellow"/>
        </w:rPr>
        <w:t>2019年0</w:t>
      </w:r>
      <w:r>
        <w:rPr>
          <w:rFonts w:hint="eastAsia"/>
          <w:kern w:val="2"/>
          <w:sz w:val="30"/>
          <w:szCs w:val="30"/>
          <w:highlight w:val="yellow"/>
          <w:lang w:val="en-US" w:eastAsia="zh-CN"/>
        </w:rPr>
        <w:t>6</w:t>
      </w:r>
      <w:r>
        <w:rPr>
          <w:rFonts w:hint="eastAsia"/>
          <w:kern w:val="2"/>
          <w:sz w:val="30"/>
          <w:szCs w:val="30"/>
          <w:highlight w:val="yellow"/>
        </w:rPr>
        <w:t>月</w:t>
      </w:r>
      <w:r>
        <w:rPr>
          <w:rFonts w:hint="eastAsia"/>
          <w:kern w:val="2"/>
          <w:sz w:val="30"/>
          <w:szCs w:val="30"/>
          <w:highlight w:val="yellow"/>
          <w:lang w:val="en-US" w:eastAsia="zh-CN"/>
        </w:rPr>
        <w:t>03</w:t>
      </w:r>
      <w:r>
        <w:rPr>
          <w:rFonts w:hint="eastAsia"/>
          <w:kern w:val="2"/>
          <w:sz w:val="30"/>
          <w:szCs w:val="30"/>
          <w:highlight w:val="yellow"/>
        </w:rPr>
        <w:t>日至2019年0</w:t>
      </w:r>
      <w:r>
        <w:rPr>
          <w:rFonts w:hint="eastAsia"/>
          <w:kern w:val="2"/>
          <w:sz w:val="30"/>
          <w:szCs w:val="30"/>
          <w:highlight w:val="yellow"/>
          <w:lang w:val="en-US" w:eastAsia="zh-CN"/>
        </w:rPr>
        <w:t>6</w:t>
      </w:r>
      <w:r>
        <w:rPr>
          <w:rFonts w:hint="eastAsia"/>
          <w:kern w:val="2"/>
          <w:sz w:val="30"/>
          <w:szCs w:val="30"/>
          <w:highlight w:val="yellow"/>
        </w:rPr>
        <w:t>月</w:t>
      </w:r>
      <w:r>
        <w:rPr>
          <w:rFonts w:hint="eastAsia"/>
          <w:kern w:val="2"/>
          <w:sz w:val="30"/>
          <w:szCs w:val="30"/>
          <w:highlight w:val="yellow"/>
          <w:lang w:val="en-US" w:eastAsia="zh-CN"/>
        </w:rPr>
        <w:t>05</w:t>
      </w:r>
      <w:r>
        <w:rPr>
          <w:rFonts w:hint="eastAsia"/>
          <w:kern w:val="2"/>
          <w:sz w:val="30"/>
          <w:szCs w:val="30"/>
          <w:highlight w:val="yellow"/>
        </w:rPr>
        <w:t>日（工作日内</w:t>
      </w:r>
      <w:r>
        <w:rPr>
          <w:rFonts w:hint="eastAsia"/>
          <w:color w:val="auto"/>
          <w:kern w:val="2"/>
          <w:sz w:val="30"/>
          <w:szCs w:val="30"/>
          <w:highlight w:val="yellow"/>
        </w:rPr>
        <w:t>）</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0——17∶30，在赣州市人民医院南院（梅关大道16号）行政楼205招标办购买，由投标单位的基本账户转入医院的指定帐户（单位名称:赣州市人民医院；账号:</w:t>
      </w:r>
      <w:r>
        <w:rPr>
          <w:rFonts w:hint="eastAsia"/>
          <w:kern w:val="2"/>
          <w:sz w:val="30"/>
          <w:szCs w:val="30"/>
        </w:rPr>
        <w:t>1510220109026473030；开户银行:工商银行赣州市虔城支行），谈判文件工本费100元/本，文件售后不退，报名时请携带营业执照复印件（加盖公章）。</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color w:val="auto"/>
          <w:kern w:val="2"/>
          <w:sz w:val="30"/>
          <w:szCs w:val="30"/>
          <w:highlight w:val="yellow"/>
        </w:rPr>
        <w:t>2019年</w:t>
      </w:r>
      <w:r>
        <w:rPr>
          <w:rFonts w:hint="eastAsia"/>
          <w:color w:val="auto"/>
          <w:kern w:val="2"/>
          <w:sz w:val="30"/>
          <w:szCs w:val="30"/>
          <w:highlight w:val="yellow"/>
          <w:lang w:val="en-US" w:eastAsia="zh-CN"/>
        </w:rPr>
        <w:t>06</w:t>
      </w:r>
      <w:r>
        <w:rPr>
          <w:rFonts w:hint="eastAsia"/>
          <w:color w:val="auto"/>
          <w:kern w:val="2"/>
          <w:sz w:val="30"/>
          <w:szCs w:val="30"/>
          <w:highlight w:val="yellow"/>
        </w:rPr>
        <w:t>月</w:t>
      </w:r>
      <w:r>
        <w:rPr>
          <w:rFonts w:hint="eastAsia"/>
          <w:b w:val="0"/>
          <w:bCs w:val="0"/>
          <w:color w:val="auto"/>
          <w:kern w:val="2"/>
          <w:sz w:val="30"/>
          <w:szCs w:val="30"/>
          <w:highlight w:val="yellow"/>
          <w:lang w:val="en-US" w:eastAsia="zh-CN"/>
        </w:rPr>
        <w:t>11</w:t>
      </w:r>
      <w:r>
        <w:rPr>
          <w:rFonts w:hint="eastAsia"/>
          <w:color w:val="auto"/>
          <w:kern w:val="2"/>
          <w:sz w:val="30"/>
          <w:szCs w:val="30"/>
          <w:highlight w:val="yellow"/>
        </w:rPr>
        <w:t>日15:00（北京时间），</w:t>
      </w:r>
      <w:r>
        <w:rPr>
          <w:rFonts w:hint="eastAsia"/>
          <w:color w:val="auto"/>
          <w:kern w:val="2"/>
          <w:sz w:val="30"/>
          <w:szCs w:val="30"/>
          <w:highlight w:val="none"/>
        </w:rPr>
        <w:t>谈判地点：赣州市人民医院南院行政楼</w:t>
      </w:r>
      <w:r>
        <w:rPr>
          <w:rFonts w:hint="eastAsia"/>
          <w:color w:val="auto"/>
          <w:kern w:val="2"/>
          <w:sz w:val="30"/>
          <w:szCs w:val="30"/>
          <w:highlight w:val="none"/>
          <w:lang w:val="en-US" w:eastAsia="zh-CN"/>
        </w:rPr>
        <w:t>2</w:t>
      </w:r>
      <w:r>
        <w:rPr>
          <w:rFonts w:hint="eastAsia"/>
          <w:color w:val="auto"/>
          <w:kern w:val="2"/>
          <w:sz w:val="30"/>
          <w:szCs w:val="30"/>
          <w:highlight w:val="none"/>
        </w:rPr>
        <w:t>楼</w:t>
      </w:r>
      <w:r>
        <w:rPr>
          <w:rFonts w:hint="eastAsia"/>
          <w:color w:val="auto"/>
          <w:kern w:val="2"/>
          <w:sz w:val="30"/>
          <w:szCs w:val="30"/>
          <w:highlight w:val="none"/>
          <w:lang w:val="en-US" w:eastAsia="zh-CN"/>
        </w:rPr>
        <w:t>4</w:t>
      </w:r>
      <w:r>
        <w:rPr>
          <w:rFonts w:hint="eastAsia"/>
          <w:color w:val="auto"/>
          <w:kern w:val="2"/>
          <w:sz w:val="30"/>
          <w:szCs w:val="30"/>
          <w:highlight w:val="none"/>
        </w:rPr>
        <w:t>号会议室。</w:t>
      </w:r>
      <w:r>
        <w:rPr>
          <w:rFonts w:hint="eastAsia"/>
          <w:kern w:val="2"/>
          <w:sz w:val="30"/>
          <w:szCs w:val="30"/>
        </w:rPr>
        <w:t>逾期或不符合规定的竞谈响应文件恕不接受。签到时应主动出示身份证明原件。（温馨提示：谈判地点交通拥堵，车位紧张，请各响应供应商提前做好准备。）</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（九）响应保证金及履约保证金：</w:t>
      </w:r>
      <w:r>
        <w:rPr>
          <w:rFonts w:hint="eastAsia"/>
          <w:kern w:val="2"/>
          <w:sz w:val="30"/>
          <w:szCs w:val="30"/>
          <w:highlight w:val="yellow"/>
        </w:rPr>
        <w:t>响应供应商的响应保证金足额一次性缴纳人民币</w:t>
      </w:r>
      <w:r>
        <w:rPr>
          <w:rFonts w:hint="eastAsia"/>
          <w:kern w:val="2"/>
          <w:sz w:val="30"/>
          <w:szCs w:val="30"/>
          <w:highlight w:val="yellow"/>
          <w:lang w:eastAsia="zh-CN"/>
        </w:rPr>
        <w:t>肆</w:t>
      </w:r>
      <w:r>
        <w:rPr>
          <w:rFonts w:hint="eastAsia"/>
          <w:kern w:val="2"/>
          <w:sz w:val="30"/>
          <w:szCs w:val="30"/>
          <w:highlight w:val="yellow"/>
        </w:rPr>
        <w:t>仟</w:t>
      </w:r>
      <w:r>
        <w:rPr>
          <w:rFonts w:hint="eastAsia"/>
          <w:kern w:val="2"/>
          <w:sz w:val="30"/>
          <w:szCs w:val="30"/>
          <w:highlight w:val="yellow"/>
          <w:lang w:eastAsia="zh-CN"/>
        </w:rPr>
        <w:t>陆</w:t>
      </w:r>
      <w:r>
        <w:rPr>
          <w:rFonts w:hint="eastAsia"/>
          <w:kern w:val="2"/>
          <w:sz w:val="30"/>
          <w:szCs w:val="30"/>
          <w:highlight w:val="yellow"/>
        </w:rPr>
        <w:t>佰元整</w:t>
      </w:r>
      <w:r>
        <w:rPr>
          <w:rFonts w:hint="eastAsia"/>
          <w:color w:val="auto"/>
          <w:kern w:val="2"/>
          <w:sz w:val="30"/>
          <w:szCs w:val="30"/>
          <w:highlight w:val="yellow"/>
        </w:rPr>
        <w:t>，</w:t>
      </w:r>
      <w:r>
        <w:rPr>
          <w:rFonts w:hint="eastAsia"/>
          <w:color w:val="auto"/>
          <w:kern w:val="2"/>
          <w:sz w:val="30"/>
          <w:szCs w:val="30"/>
        </w:rPr>
        <w:t>须在开标当天</w:t>
      </w:r>
      <w:r>
        <w:rPr>
          <w:rFonts w:hint="eastAsia"/>
          <w:color w:val="auto"/>
          <w:kern w:val="2"/>
          <w:sz w:val="30"/>
          <w:szCs w:val="30"/>
          <w:highlight w:val="none"/>
        </w:rPr>
        <w:t>上午8：00</w:t>
      </w:r>
      <w:r>
        <w:rPr>
          <w:rFonts w:hint="eastAsia"/>
          <w:color w:val="auto"/>
          <w:kern w:val="2"/>
          <w:sz w:val="30"/>
          <w:szCs w:val="30"/>
        </w:rPr>
        <w:t>前到账，</w:t>
      </w:r>
      <w:r>
        <w:rPr>
          <w:rFonts w:hint="eastAsia"/>
          <w:color w:val="auto"/>
          <w:kern w:val="2"/>
          <w:sz w:val="30"/>
          <w:szCs w:val="30"/>
          <w:highlight w:val="yellow"/>
          <w:lang w:eastAsia="zh-CN"/>
        </w:rPr>
        <w:t>投标人未按照竞争性谈判文件要求提交投标保证金的，投标无效。</w:t>
      </w:r>
      <w:r>
        <w:rPr>
          <w:rFonts w:hint="eastAsia"/>
          <w:color w:val="auto"/>
          <w:kern w:val="2"/>
          <w:sz w:val="30"/>
          <w:szCs w:val="30"/>
        </w:rPr>
        <w:t>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接无息退还。成交供应商的响应保证金转为履约保证金；</w:t>
      </w:r>
      <w:r>
        <w:rPr>
          <w:rFonts w:hint="eastAsia"/>
          <w:kern w:val="2"/>
          <w:sz w:val="30"/>
          <w:szCs w:val="30"/>
          <w:highlight w:val="yellow"/>
        </w:rPr>
        <w:t>履约保证金按成交金额的10%缴纳，</w:t>
      </w:r>
      <w:r>
        <w:rPr>
          <w:rFonts w:hint="eastAsia"/>
          <w:kern w:val="2"/>
          <w:sz w:val="30"/>
          <w:szCs w:val="30"/>
        </w:rPr>
        <w:t>不足部分在合同签订前补齐，货物验收合格后质保期结束时一次性无息退还。</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（十）付款方法：</w:t>
      </w:r>
      <w:r>
        <w:rPr>
          <w:rFonts w:hint="eastAsia"/>
          <w:kern w:val="2"/>
          <w:sz w:val="30"/>
          <w:szCs w:val="30"/>
        </w:rPr>
        <w:t>货物经验收合格后一个月内一次性付清，不计利息。</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yellow"/>
        </w:rPr>
        <w:t>一日前，未书面通知</w:t>
      </w:r>
      <w:r>
        <w:rPr>
          <w:rFonts w:hint="eastAsia"/>
          <w:b/>
          <w:bCs/>
          <w:kern w:val="2"/>
          <w:sz w:val="30"/>
          <w:szCs w:val="30"/>
        </w:rPr>
        <w:t>而放弃响应的，不得再参加该项目的采购活动。</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联系人：刘女士</w:t>
      </w:r>
    </w:p>
    <w:p>
      <w:pPr>
        <w:spacing w:line="440" w:lineRule="atLeast"/>
        <w:ind w:firstLine="600" w:firstLineChars="250"/>
        <w:rPr>
          <w:rFonts w:asciiTheme="minorEastAsia" w:hAnsiTheme="minorEastAsia" w:eastAsiaTheme="minorEastAsia"/>
          <w:sz w:val="24"/>
          <w:szCs w:val="24"/>
        </w:rPr>
      </w:pPr>
    </w:p>
    <w:p>
      <w:pPr>
        <w:spacing w:line="440" w:lineRule="atLeast"/>
        <w:ind w:firstLine="600" w:firstLineChars="250"/>
        <w:rPr>
          <w:rFonts w:asciiTheme="minorEastAsia" w:hAnsiTheme="minorEastAsia" w:eastAsiaTheme="minorEastAsia"/>
          <w:sz w:val="24"/>
          <w:szCs w:val="24"/>
        </w:rPr>
      </w:pPr>
    </w:p>
    <w:p>
      <w:pPr>
        <w:spacing w:line="440" w:lineRule="atLeast"/>
        <w:ind w:firstLine="600" w:firstLineChars="250"/>
        <w:rPr>
          <w:rFonts w:asciiTheme="minorEastAsia" w:hAnsiTheme="minorEastAsia" w:eastAsiaTheme="minorEastAsia"/>
          <w:sz w:val="24"/>
          <w:szCs w:val="24"/>
        </w:rPr>
      </w:pP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499477410"/>
      <w:bookmarkStart w:id="6" w:name="_Toc501101639"/>
      <w:bookmarkStart w:id="7" w:name="_Toc495487710"/>
      <w:r>
        <w:rPr>
          <w:rFonts w:hint="eastAsia" w:hAnsi="宋体"/>
          <w:szCs w:val="28"/>
        </w:rPr>
        <w:t>一、</w:t>
      </w:r>
      <w:bookmarkEnd w:id="3"/>
      <w:r>
        <w:rPr>
          <w:rFonts w:hint="eastAsia"/>
          <w:b/>
          <w:sz w:val="32"/>
          <w:szCs w:val="22"/>
        </w:rPr>
        <w:t>采购项目需求</w:t>
      </w:r>
      <w:bookmarkEnd w:id="4"/>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5、交货期：卖方应在《中标通知书》规定的时间内和买方签订正式合同，并在合同签订之日</w:t>
      </w:r>
      <w:r>
        <w:rPr>
          <w:rFonts w:hint="eastAsia"/>
          <w:b w:val="0"/>
          <w:bCs w:val="0"/>
          <w:color w:val="auto"/>
          <w:kern w:val="2"/>
          <w:sz w:val="30"/>
          <w:szCs w:val="30"/>
        </w:rPr>
        <w:t>起</w:t>
      </w:r>
      <w:r>
        <w:rPr>
          <w:rFonts w:hint="eastAsia"/>
          <w:b w:val="0"/>
          <w:bCs w:val="0"/>
          <w:color w:val="auto"/>
          <w:kern w:val="2"/>
          <w:sz w:val="30"/>
          <w:szCs w:val="30"/>
          <w:highlight w:val="yellow"/>
          <w:shd w:val="clear" w:color="auto" w:fill="auto"/>
          <w:lang w:eastAsia="zh-CN"/>
        </w:rPr>
        <w:t>七日</w:t>
      </w:r>
      <w:r>
        <w:rPr>
          <w:rFonts w:hint="eastAsia"/>
          <w:b w:val="0"/>
          <w:bCs w:val="0"/>
          <w:color w:val="auto"/>
          <w:kern w:val="2"/>
          <w:sz w:val="30"/>
          <w:szCs w:val="30"/>
          <w:highlight w:val="yellow"/>
          <w:shd w:val="clear" w:color="auto" w:fill="auto"/>
        </w:rPr>
        <w:t>内</w:t>
      </w:r>
      <w:r>
        <w:rPr>
          <w:rFonts w:hint="eastAsia"/>
          <w:b w:val="0"/>
          <w:bCs w:val="0"/>
          <w:color w:val="auto"/>
          <w:kern w:val="2"/>
          <w:sz w:val="30"/>
          <w:szCs w:val="30"/>
        </w:rPr>
        <w:t>完</w:t>
      </w:r>
      <w:r>
        <w:rPr>
          <w:rFonts w:hint="eastAsia"/>
          <w:kern w:val="2"/>
          <w:sz w:val="30"/>
          <w:szCs w:val="30"/>
        </w:rPr>
        <w:t xml:space="preserve">成所有产品的供货，包含安装调试，并交付使用。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6、交货地点：采购人指定地点。</w:t>
      </w:r>
    </w:p>
    <w:bookmarkEnd w:id="8"/>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7、产品参数要求:</w:t>
      </w:r>
      <w:r>
        <w:rPr>
          <w:rFonts w:hint="eastAsia"/>
          <w:b/>
          <w:bCs/>
          <w:kern w:val="2"/>
          <w:sz w:val="30"/>
          <w:szCs w:val="30"/>
          <w:lang w:eastAsia="zh-CN"/>
        </w:rPr>
        <w:t>详见采购内容</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8、售后要求：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8.1质保期自验收合格之日起</w:t>
      </w:r>
      <w:r>
        <w:rPr>
          <w:rFonts w:hint="eastAsia"/>
          <w:kern w:val="2"/>
          <w:sz w:val="30"/>
          <w:szCs w:val="30"/>
          <w:highlight w:val="yellow"/>
        </w:rPr>
        <w:t>不得少于</w:t>
      </w:r>
      <w:r>
        <w:rPr>
          <w:rFonts w:hint="eastAsia"/>
          <w:b/>
          <w:bCs/>
          <w:kern w:val="2"/>
          <w:sz w:val="30"/>
          <w:szCs w:val="30"/>
          <w:highlight w:val="yellow"/>
          <w:lang w:val="en-US" w:eastAsia="zh-CN"/>
        </w:rPr>
        <w:t>6</w:t>
      </w:r>
      <w:r>
        <w:rPr>
          <w:rFonts w:hint="eastAsia"/>
          <w:kern w:val="2"/>
          <w:sz w:val="30"/>
          <w:szCs w:val="30"/>
          <w:highlight w:val="yellow"/>
        </w:rPr>
        <w:t>个月</w:t>
      </w:r>
      <w:r>
        <w:rPr>
          <w:rFonts w:hint="eastAsia"/>
          <w:kern w:val="2"/>
          <w:sz w:val="30"/>
          <w:szCs w:val="30"/>
        </w:rPr>
        <w:t>。</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9、违约赔偿：</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9.1如果卖方没有按照合同规定的时间交货和提供服务，</w:t>
      </w:r>
      <w:r>
        <w:rPr>
          <w:rFonts w:hint="eastAsia"/>
          <w:color w:val="auto"/>
          <w:kern w:val="2"/>
          <w:sz w:val="30"/>
          <w:szCs w:val="30"/>
        </w:rPr>
        <w:t>买方可从货款中扣除违约赔偿费，赔偿费应按每迟交一周，按合同总价的1%计收。但违约赔偿费的最高限额为合同总价的10%。一周按7天计算，不足</w:t>
      </w:r>
      <w:r>
        <w:rPr>
          <w:rFonts w:hint="eastAsia"/>
          <w:kern w:val="2"/>
          <w:sz w:val="30"/>
          <w:szCs w:val="30"/>
        </w:rPr>
        <w:t>7天按一周计算。如果卖方在达到最高限额后仍不能交货，买方可单方面终止合同。</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10.其他要求：</w:t>
      </w:r>
    </w:p>
    <w:p>
      <w:pPr>
        <w:spacing w:line="360" w:lineRule="exact"/>
        <w:rPr>
          <w:rFonts w:asciiTheme="minorEastAsia" w:hAnsiTheme="minorEastAsia" w:eastAsiaTheme="minorEastAsia"/>
          <w:color w:val="FF0000"/>
          <w:sz w:val="24"/>
          <w:szCs w:val="24"/>
        </w:rPr>
      </w:pPr>
    </w:p>
    <w:bookmarkEnd w:id="5"/>
    <w:bookmarkEnd w:id="6"/>
    <w:bookmarkEnd w:id="7"/>
    <w:p>
      <w:pPr>
        <w:pStyle w:val="2"/>
        <w:spacing w:before="240" w:after="240"/>
        <w:jc w:val="center"/>
        <w:rPr>
          <w:b/>
          <w:sz w:val="32"/>
        </w:rPr>
      </w:pPr>
      <w:bookmarkStart w:id="9" w:name="_Toc533775668"/>
      <w:r>
        <w:rPr>
          <w:rFonts w:hint="eastAsia"/>
          <w:b/>
          <w:sz w:val="32"/>
        </w:rPr>
        <w:t>二、响应文件的编制</w:t>
      </w:r>
      <w:bookmarkEnd w:id="9"/>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2</w:t>
      </w:r>
      <w:r>
        <w:rPr>
          <w:rFonts w:hint="eastAsia"/>
          <w:kern w:val="2"/>
          <w:sz w:val="30"/>
          <w:szCs w:val="30"/>
        </w:rPr>
        <w:t xml:space="preserve">具有履行合同所必须的设备和专业技术能力的证明文件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3</w:t>
      </w:r>
      <w:r>
        <w:rPr>
          <w:rFonts w:hint="eastAsia"/>
          <w:kern w:val="2"/>
          <w:sz w:val="30"/>
          <w:szCs w:val="30"/>
        </w:rPr>
        <w:t xml:space="preserve"> 有依法缴纳税收和社会保障资金的良好记录的证明文件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4</w:t>
      </w:r>
      <w:r>
        <w:rPr>
          <w:rFonts w:hint="eastAsia"/>
          <w:kern w:val="2"/>
          <w:sz w:val="30"/>
          <w:szCs w:val="30"/>
        </w:rPr>
        <w:t xml:space="preserve">参加采购前三年内,在经营活动中没有重大违法记录的证明文件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5</w:t>
      </w:r>
      <w:r>
        <w:rPr>
          <w:rFonts w:hint="eastAsia"/>
          <w:kern w:val="2"/>
          <w:sz w:val="30"/>
          <w:szCs w:val="30"/>
        </w:rPr>
        <w:t xml:space="preserve">法定代表人授权书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6</w:t>
      </w:r>
      <w:r>
        <w:rPr>
          <w:rFonts w:hint="eastAsia"/>
          <w:kern w:val="2"/>
          <w:sz w:val="30"/>
          <w:szCs w:val="30"/>
        </w:rPr>
        <w:t>供应商的资格声明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7</w:t>
      </w:r>
      <w:r>
        <w:rPr>
          <w:rFonts w:hint="eastAsia"/>
          <w:kern w:val="2"/>
          <w:sz w:val="30"/>
          <w:szCs w:val="30"/>
        </w:rPr>
        <w:t>谈判保证金凭证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8</w:t>
      </w:r>
      <w:r>
        <w:rPr>
          <w:rFonts w:hint="eastAsia"/>
          <w:kern w:val="2"/>
          <w:sz w:val="30"/>
          <w:szCs w:val="30"/>
        </w:rPr>
        <w:t xml:space="preserve"> 其他资格证明文件</w:t>
      </w:r>
    </w:p>
    <w:p>
      <w:pPr>
        <w:pStyle w:val="16"/>
        <w:spacing w:before="0" w:beforeAutospacing="0" w:after="0" w:afterAutospacing="0" w:line="460" w:lineRule="exact"/>
        <w:ind w:firstLine="602" w:firstLineChars="200"/>
        <w:jc w:val="both"/>
        <w:rPr>
          <w:rFonts w:hint="eastAsia"/>
          <w:kern w:val="2"/>
          <w:sz w:val="30"/>
          <w:szCs w:val="30"/>
        </w:rPr>
      </w:pPr>
      <w:r>
        <w:rPr>
          <w:rFonts w:hint="eastAsia"/>
          <w:b/>
          <w:bCs/>
          <w:kern w:val="2"/>
          <w:sz w:val="30"/>
          <w:szCs w:val="30"/>
        </w:rPr>
        <w:t>2. 响应文件计量单位</w:t>
      </w:r>
      <w:r>
        <w:rPr>
          <w:rFonts w:hint="eastAsia"/>
          <w:kern w:val="2"/>
          <w:sz w:val="30"/>
          <w:szCs w:val="30"/>
        </w:rPr>
        <w:tab/>
      </w:r>
    </w:p>
    <w:p>
      <w:pPr>
        <w:pStyle w:val="16"/>
        <w:spacing w:before="0" w:beforeAutospacing="0" w:after="0" w:afterAutospacing="0" w:line="460" w:lineRule="exact"/>
        <w:ind w:firstLine="600" w:firstLineChars="200"/>
        <w:jc w:val="both"/>
        <w:rPr>
          <w:rFonts w:hint="eastAsia"/>
          <w:kern w:val="2"/>
          <w:sz w:val="30"/>
          <w:szCs w:val="30"/>
        </w:rPr>
      </w:pP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谈判报价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4.2供应商要按报价表（统一格式）和分项报价表（统一格式）的内容填写产品单价、总价及其他事项。</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4.3本项目采购预算价为</w:t>
      </w:r>
      <w:r>
        <w:rPr>
          <w:rFonts w:hint="eastAsia"/>
          <w:b/>
          <w:bCs/>
          <w:kern w:val="2"/>
          <w:sz w:val="30"/>
          <w:szCs w:val="30"/>
          <w:highlight w:val="yellow"/>
          <w:lang w:val="en-US" w:eastAsia="zh-CN"/>
        </w:rPr>
        <w:t>230000</w:t>
      </w:r>
      <w:r>
        <w:rPr>
          <w:rFonts w:hint="eastAsia"/>
          <w:b/>
          <w:bCs/>
          <w:kern w:val="2"/>
          <w:sz w:val="30"/>
          <w:szCs w:val="30"/>
          <w:highlight w:val="yellow"/>
        </w:rPr>
        <w:t>元</w:t>
      </w:r>
      <w:r>
        <w:rPr>
          <w:rFonts w:hint="eastAsia"/>
          <w:b/>
          <w:bCs/>
          <w:kern w:val="2"/>
          <w:sz w:val="30"/>
          <w:szCs w:val="30"/>
        </w:rPr>
        <w:t>。响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谈判保证金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w:t>
      </w:r>
      <w:r>
        <w:rPr>
          <w:rFonts w:hint="eastAsia"/>
          <w:kern w:val="2"/>
          <w:sz w:val="30"/>
          <w:szCs w:val="30"/>
          <w:highlight w:val="yellow"/>
          <w:lang w:eastAsia="zh-CN"/>
        </w:rPr>
        <w:t>谈判</w:t>
      </w:r>
      <w:r>
        <w:rPr>
          <w:rFonts w:hint="eastAsia"/>
          <w:kern w:val="2"/>
          <w:sz w:val="30"/>
          <w:szCs w:val="30"/>
          <w:highlight w:val="yellow"/>
        </w:rPr>
        <w:t>保证金须在开标当天上午8：00前</w:t>
      </w:r>
      <w:r>
        <w:rPr>
          <w:rFonts w:hint="eastAsia"/>
          <w:kern w:val="2"/>
          <w:sz w:val="30"/>
          <w:szCs w:val="30"/>
          <w:highlight w:val="yellow"/>
          <w:lang w:eastAsia="zh-CN"/>
        </w:rPr>
        <w:t>到账</w:t>
      </w:r>
      <w:r>
        <w:rPr>
          <w:rFonts w:hint="eastAsia"/>
          <w:kern w:val="2"/>
          <w:sz w:val="30"/>
          <w:szCs w:val="30"/>
          <w:highlight w:val="yellow"/>
        </w:rPr>
        <w:t>，</w:t>
      </w:r>
      <w:r>
        <w:rPr>
          <w:rFonts w:hint="eastAsia"/>
          <w:kern w:val="2"/>
          <w:sz w:val="30"/>
          <w:szCs w:val="30"/>
        </w:rPr>
        <w:t>并作为其响应文件的一部分。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5</w:t>
      </w:r>
      <w:r>
        <w:rPr>
          <w:rFonts w:hint="eastAsia"/>
          <w:kern w:val="2"/>
          <w:sz w:val="30"/>
          <w:szCs w:val="30"/>
        </w:rPr>
        <w:t>) 成交供应商未按规定提交履约保证金（如有）；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6</w:t>
      </w:r>
      <w:r>
        <w:rPr>
          <w:rFonts w:hint="eastAsia"/>
          <w:kern w:val="2"/>
          <w:sz w:val="30"/>
          <w:szCs w:val="30"/>
        </w:rPr>
        <w:t>) 采购文件规定的其他情形。</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6"/>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响应文件正、副本均须胶装，否则被视为无效响应文件。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6"/>
        <w:spacing w:before="0" w:beforeAutospacing="0" w:after="0" w:afterAutospacing="0" w:line="460" w:lineRule="exact"/>
        <w:ind w:firstLine="600" w:firstLineChars="200"/>
        <w:jc w:val="both"/>
        <w:rPr>
          <w:kern w:val="2"/>
          <w:sz w:val="30"/>
          <w:szCs w:val="30"/>
        </w:rPr>
      </w:pPr>
    </w:p>
    <w:p>
      <w:pPr>
        <w:pStyle w:val="2"/>
        <w:spacing w:before="240" w:after="240"/>
        <w:jc w:val="center"/>
        <w:rPr>
          <w:b/>
          <w:sz w:val="32"/>
        </w:rPr>
      </w:pPr>
      <w:bookmarkStart w:id="10" w:name="_Toc533775669"/>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响应文件格式9”的规定提供</w:t>
      </w:r>
      <w:r>
        <w:rPr>
          <w:rFonts w:hint="eastAsia"/>
          <w:kern w:val="2"/>
          <w:sz w:val="30"/>
          <w:szCs w:val="30"/>
          <w:lang w:val="en-GB"/>
        </w:rPr>
        <w:t>资格、资信证明文件的；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6"/>
        <w:spacing w:before="0" w:beforeAutospacing="0" w:after="0" w:afterAutospacing="0" w:line="460" w:lineRule="exact"/>
        <w:ind w:firstLine="600" w:firstLineChars="200"/>
        <w:jc w:val="both"/>
        <w:rPr>
          <w:color w:val="auto"/>
          <w:kern w:val="2"/>
          <w:sz w:val="30"/>
          <w:szCs w:val="30"/>
          <w:highlight w:val="none"/>
        </w:rPr>
      </w:pPr>
      <w:r>
        <w:rPr>
          <w:rFonts w:hint="eastAsia"/>
          <w:color w:val="auto"/>
          <w:kern w:val="2"/>
          <w:sz w:val="30"/>
          <w:szCs w:val="30"/>
          <w:highlight w:val="none"/>
        </w:rPr>
        <w:t>6）谈判文件规定为国产产品，提供进口产品参加谈判的。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w:t>
      </w:r>
      <w:r>
        <w:rPr>
          <w:rFonts w:hint="eastAsia"/>
          <w:kern w:val="2"/>
          <w:sz w:val="30"/>
          <w:szCs w:val="30"/>
          <w:highlight w:val="yellow"/>
          <w:lang w:val="en-GB" w:eastAsia="zh-CN"/>
        </w:rPr>
        <w:t>抽签</w:t>
      </w:r>
      <w:r>
        <w:rPr>
          <w:rFonts w:hint="eastAsia"/>
          <w:kern w:val="2"/>
          <w:sz w:val="30"/>
          <w:szCs w:val="30"/>
          <w:highlight w:val="yellow"/>
          <w:lang w:val="en-GB"/>
        </w:rPr>
        <w:t>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代理机构对谈判过程和谈判内容作记录，谈判小组召集人和响应供应商在记录上签字确认。谈判小组可以根据情况进行三轮谈判。第三轮谈判为最终的谈判。</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6"/>
        <w:spacing w:before="0" w:beforeAutospacing="0" w:after="0" w:afterAutospacing="0" w:line="460" w:lineRule="exact"/>
        <w:ind w:firstLine="600" w:firstLineChars="200"/>
        <w:jc w:val="both"/>
        <w:rPr>
          <w:kern w:val="2"/>
          <w:sz w:val="30"/>
          <w:szCs w:val="30"/>
        </w:rPr>
      </w:pPr>
      <w:bookmarkStart w:id="12" w:name="_Toc376848253"/>
      <w:r>
        <w:rPr>
          <w:rFonts w:hint="eastAsia"/>
          <w:kern w:val="2"/>
          <w:sz w:val="30"/>
          <w:szCs w:val="30"/>
        </w:rPr>
        <w:t>4.终止谈判采购活动的情形</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bookmarkEnd w:id="13"/>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bookmarkEnd w:id="12"/>
    <w:p>
      <w:pPr>
        <w:pStyle w:val="16"/>
        <w:spacing w:before="0" w:beforeAutospacing="0" w:after="0" w:afterAutospacing="0" w:line="460" w:lineRule="exact"/>
        <w:ind w:firstLine="600" w:firstLineChars="200"/>
        <w:jc w:val="both"/>
        <w:rPr>
          <w:kern w:val="2"/>
          <w:sz w:val="30"/>
          <w:szCs w:val="30"/>
        </w:rPr>
      </w:pPr>
      <w:bookmarkStart w:id="14" w:name="_Toc286758340"/>
      <w:r>
        <w:rPr>
          <w:rFonts w:hint="eastAsia"/>
          <w:kern w:val="2"/>
          <w:sz w:val="30"/>
          <w:szCs w:val="30"/>
        </w:rPr>
        <w:t xml:space="preserve">6. </w:t>
      </w:r>
      <w:bookmarkEnd w:id="14"/>
      <w:r>
        <w:rPr>
          <w:rFonts w:hint="eastAsia"/>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7.质疑</w:t>
      </w:r>
    </w:p>
    <w:p>
      <w:pPr>
        <w:pStyle w:val="16"/>
        <w:spacing w:before="0" w:beforeAutospacing="0" w:after="0" w:afterAutospacing="0" w:line="460" w:lineRule="exact"/>
        <w:ind w:firstLine="600" w:firstLineChars="200"/>
        <w:jc w:val="both"/>
        <w:rPr>
          <w:kern w:val="2"/>
          <w:sz w:val="30"/>
          <w:szCs w:val="30"/>
        </w:rPr>
      </w:pPr>
      <w:bookmarkStart w:id="15" w:name="_Toc445715221"/>
      <w:bookmarkStart w:id="16" w:name="_Toc376848255"/>
      <w:bookmarkStart w:id="17" w:name="_Toc286758341"/>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5"/>
    <w:bookmarkEnd w:id="16"/>
    <w:bookmarkEnd w:id="17"/>
    <w:p>
      <w:pPr>
        <w:pStyle w:val="2"/>
        <w:spacing w:before="240" w:after="240"/>
        <w:jc w:val="center"/>
        <w:rPr>
          <w:rFonts w:ascii="仿宋" w:hAnsi="仿宋" w:eastAsia="仿宋" w:cs="仿宋"/>
          <w:b/>
          <w:kern w:val="0"/>
          <w:sz w:val="32"/>
          <w:szCs w:val="32"/>
        </w:rPr>
      </w:pPr>
      <w:bookmarkStart w:id="18" w:name="_Toc533775677"/>
      <w:r>
        <w:rPr>
          <w:rFonts w:hint="eastAsia"/>
          <w:b/>
          <w:sz w:val="32"/>
        </w:rPr>
        <w:t>第三章　</w:t>
      </w:r>
      <w:bookmarkStart w:id="19" w:name="_Toc387418052"/>
      <w:bookmarkStart w:id="20" w:name="_Toc225565935"/>
      <w:r>
        <w:rPr>
          <w:rFonts w:hint="eastAsia"/>
          <w:b/>
          <w:sz w:val="32"/>
        </w:rPr>
        <w:t>合同草案</w:t>
      </w:r>
      <w:bookmarkEnd w:id="18"/>
    </w:p>
    <w:p>
      <w:pPr>
        <w:tabs>
          <w:tab w:val="left" w:pos="4620"/>
        </w:tabs>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甲、乙双方根据项目编号：********的成交结果和竞谈文件的要求，并经双方协商一致，同意按下述条件签订本合同。</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1、合同文件的组成（以下内容是组成本合同文件不可分割的部分）：</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（1）本合同；</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（2）中标通知书；</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（3）竞谈文件（含招标过程补充通知及答疑回复等）；</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（4）响应文件。</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2、合同范围和条件：本合同的范围和条件应与上述合同文件的规定一致。</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3、设备名称、品牌型号及数量、单价：</w:t>
      </w:r>
    </w:p>
    <w:tbl>
      <w:tblPr>
        <w:tblStyle w:val="18"/>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2192"/>
        <w:gridCol w:w="875"/>
        <w:gridCol w:w="1959"/>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1" w:type="dxa"/>
            <w:noWrap/>
            <w:vAlign w:val="center"/>
          </w:tcPr>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2192"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品牌及规格型号</w:t>
            </w:r>
          </w:p>
        </w:tc>
        <w:tc>
          <w:tcPr>
            <w:tcW w:w="875"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959"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单价（元）</w:t>
            </w:r>
          </w:p>
        </w:tc>
        <w:tc>
          <w:tcPr>
            <w:tcW w:w="1800"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2161" w:type="dxa"/>
            <w:noWrap/>
            <w:vAlign w:val="center"/>
          </w:tcPr>
          <w:p>
            <w:pPr>
              <w:spacing w:line="440" w:lineRule="exact"/>
              <w:jc w:val="center"/>
              <w:rPr>
                <w:rFonts w:ascii="仿宋_GB2312" w:hAnsi="仿宋_GB2312" w:eastAsia="仿宋_GB2312" w:cs="仿宋_GB2312"/>
                <w:sz w:val="24"/>
                <w:szCs w:val="28"/>
              </w:rPr>
            </w:pPr>
          </w:p>
        </w:tc>
        <w:tc>
          <w:tcPr>
            <w:tcW w:w="2192" w:type="dxa"/>
            <w:noWrap/>
            <w:vAlign w:val="center"/>
          </w:tcPr>
          <w:p>
            <w:pPr>
              <w:spacing w:line="440" w:lineRule="exact"/>
              <w:jc w:val="center"/>
              <w:rPr>
                <w:rFonts w:ascii="仿宋_GB2312" w:hAnsi="仿宋_GB2312" w:eastAsia="仿宋_GB2312" w:cs="仿宋_GB2312"/>
                <w:sz w:val="24"/>
                <w:szCs w:val="28"/>
              </w:rPr>
            </w:pPr>
          </w:p>
        </w:tc>
        <w:tc>
          <w:tcPr>
            <w:tcW w:w="875" w:type="dxa"/>
            <w:noWrap/>
            <w:vAlign w:val="center"/>
          </w:tcPr>
          <w:p>
            <w:pPr>
              <w:spacing w:line="440" w:lineRule="exact"/>
              <w:jc w:val="center"/>
              <w:rPr>
                <w:rFonts w:ascii="仿宋_GB2312" w:hAnsi="仿宋_GB2312" w:eastAsia="仿宋_GB2312" w:cs="仿宋_GB2312"/>
                <w:sz w:val="24"/>
                <w:szCs w:val="28"/>
              </w:rPr>
            </w:pPr>
          </w:p>
        </w:tc>
        <w:tc>
          <w:tcPr>
            <w:tcW w:w="1959" w:type="dxa"/>
            <w:noWrap/>
            <w:vAlign w:val="center"/>
          </w:tcPr>
          <w:p>
            <w:pPr>
              <w:spacing w:line="440" w:lineRule="exact"/>
              <w:jc w:val="center"/>
              <w:rPr>
                <w:rFonts w:ascii="仿宋_GB2312" w:hAnsi="仿宋_GB2312" w:eastAsia="仿宋_GB2312" w:cs="仿宋_GB2312"/>
                <w:sz w:val="24"/>
                <w:szCs w:val="28"/>
              </w:rPr>
            </w:pPr>
          </w:p>
        </w:tc>
        <w:tc>
          <w:tcPr>
            <w:tcW w:w="1800" w:type="dxa"/>
            <w:noWrap/>
            <w:vAlign w:val="center"/>
          </w:tcPr>
          <w:p>
            <w:pPr>
              <w:spacing w:line="440" w:lineRule="exact"/>
              <w:jc w:val="center"/>
              <w:rPr>
                <w:rFonts w:ascii="仿宋_GB2312" w:hAnsi="仿宋_GB2312" w:eastAsia="仿宋_GB2312" w:cs="仿宋_GB2312"/>
                <w:sz w:val="24"/>
                <w:szCs w:val="28"/>
              </w:rPr>
            </w:pPr>
          </w:p>
        </w:tc>
      </w:tr>
    </w:tbl>
    <w:p>
      <w:pPr>
        <w:widowControl/>
        <w:spacing w:line="440" w:lineRule="exact"/>
        <w:ind w:left="1120" w:hanging="1120" w:hangingChars="4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4、合同总金额为人民币</w:t>
      </w:r>
      <w:r>
        <w:rPr>
          <w:rFonts w:hint="eastAsia" w:ascii="仿宋_GB2312" w:hAnsi="仿宋_GB2312" w:eastAsia="仿宋_GB2312" w:cs="仿宋_GB2312"/>
          <w:b/>
          <w:bCs/>
          <w:sz w:val="28"/>
          <w:szCs w:val="28"/>
          <w:u w:val="single"/>
        </w:rPr>
        <w:t>*****元整</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b/>
          <w:bCs/>
          <w:sz w:val="28"/>
          <w:szCs w:val="28"/>
        </w:rPr>
        <w:t>元）。</w:t>
      </w:r>
    </w:p>
    <w:p>
      <w:pPr>
        <w:widowControl/>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5、付款方式：货物经验收合格后一个月内一次性付清，不计利息。 </w:t>
      </w:r>
    </w:p>
    <w:p>
      <w:pPr>
        <w:widowControl/>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6、交货时间、交货地点： </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6.1乙方应在签订合同之日起</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天内交货且包括安装调试。</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6.2交货地点：赣州市人民医院指定地点。</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6.3在履行合同过程中，如果乙方遇到不能按时交货和提供服务的情况，应及时以书面形式将不能按时交货的理由、延误时间通知甲方。甲方在收到乙方通知后，应进行分析，如果同意，可通过修改合同，酌情延长交货时间。</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6.4如果乙方毫无理由地拖延交货，将受到以下制裁：没收履约保证金，加收违约损失赔偿和/或终止合同。</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7、合同生效后，乙方应将每台设备和仪器的中文技术资料一套，如目录索引、图纸、技术说明书、操作手册、使用指南、合格证等技术资料在验收时一并交给甲方。</w:t>
      </w:r>
    </w:p>
    <w:p>
      <w:pPr>
        <w:pStyle w:val="16"/>
        <w:spacing w:before="0" w:beforeAutospacing="0" w:after="0" w:afterAutospacing="0" w:line="460" w:lineRule="exact"/>
        <w:jc w:val="both"/>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8、售后服务：</w:t>
      </w:r>
      <w:r>
        <w:rPr>
          <w:rFonts w:hint="eastAsia" w:ascii="仿宋_GB2312" w:hAnsi="仿宋_GB2312" w:eastAsia="仿宋_GB2312" w:cs="仿宋_GB2312"/>
          <w:b/>
          <w:bCs/>
          <w:color w:val="auto"/>
          <w:sz w:val="28"/>
          <w:szCs w:val="28"/>
        </w:rPr>
        <w:t>从验收合格之日起，</w:t>
      </w:r>
      <w:r>
        <w:rPr>
          <w:rFonts w:hint="eastAsia" w:ascii="仿宋" w:hAnsi="仿宋" w:eastAsia="仿宋" w:cs="仿宋"/>
          <w:b/>
          <w:bCs/>
          <w:color w:val="auto"/>
          <w:sz w:val="28"/>
          <w:szCs w:val="28"/>
          <w:lang w:eastAsia="zh-CN"/>
        </w:rPr>
        <w:t>质保</w:t>
      </w:r>
      <w:r>
        <w:rPr>
          <w:rFonts w:hint="eastAsia" w:ascii="仿宋" w:hAnsi="仿宋" w:eastAsia="仿宋" w:cs="仿宋"/>
          <w:b/>
          <w:bCs/>
          <w:color w:val="auto"/>
          <w:kern w:val="2"/>
          <w:sz w:val="28"/>
          <w:szCs w:val="28"/>
        </w:rPr>
        <w:t>不得少于</w:t>
      </w:r>
      <w:r>
        <w:rPr>
          <w:rFonts w:hint="eastAsia" w:ascii="仿宋" w:hAnsi="仿宋" w:eastAsia="仿宋" w:cs="仿宋"/>
          <w:b/>
          <w:bCs/>
          <w:color w:val="auto"/>
          <w:kern w:val="2"/>
          <w:sz w:val="28"/>
          <w:szCs w:val="28"/>
          <w:lang w:val="en-US" w:eastAsia="zh-CN"/>
        </w:rPr>
        <w:t>6</w:t>
      </w:r>
      <w:r>
        <w:rPr>
          <w:rFonts w:hint="eastAsia" w:ascii="仿宋" w:hAnsi="仿宋" w:eastAsia="仿宋" w:cs="仿宋"/>
          <w:b/>
          <w:bCs/>
          <w:color w:val="auto"/>
          <w:kern w:val="2"/>
          <w:sz w:val="28"/>
          <w:szCs w:val="28"/>
        </w:rPr>
        <w:t>个月</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eastAsia="zh-CN"/>
        </w:rPr>
        <w:t>质保</w:t>
      </w:r>
      <w:r>
        <w:rPr>
          <w:rFonts w:hint="eastAsia" w:ascii="仿宋_GB2312" w:hAnsi="仿宋_GB2312" w:eastAsia="仿宋_GB2312" w:cs="仿宋_GB2312"/>
          <w:b/>
          <w:bCs/>
          <w:color w:val="auto"/>
          <w:sz w:val="28"/>
          <w:szCs w:val="28"/>
        </w:rPr>
        <w:t>期内对达不到质量要求者，免费更换或退货处理。</w:t>
      </w:r>
    </w:p>
    <w:p>
      <w:pPr>
        <w:widowControl/>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违约责任：如果乙方没有按照合同规定的时间交货和提供服务，甲方可从货款中扣除违约赔偿费，赔偿费应按每迟交一周，按合同总价的1%计收。但违约赔偿费的最高限额为合同总价的10%。一周按7天计算，不足7天按一周计算。如果乙方在达到最高限额后仍不能交货，甲方可考虑终止合同。</w:t>
      </w:r>
    </w:p>
    <w:p>
      <w:pPr>
        <w:widowControl/>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yellow"/>
          <w:lang w:val="en-US" w:eastAsia="zh-CN"/>
        </w:rPr>
        <w:t>10、考核条款：</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、其他约定：</w:t>
      </w:r>
    </w:p>
    <w:p>
      <w:pPr>
        <w:pStyle w:val="16"/>
        <w:spacing w:before="0" w:beforeAutospacing="0" w:after="0" w:afterAutospacing="0" w:line="46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.1乙方按合同金额的10%标准（即**元）向甲方缴纳本项目的履约保证金，产品供齐货，安装调试完毕，且验收合格后</w:t>
      </w:r>
      <w:r>
        <w:rPr>
          <w:rFonts w:hint="eastAsia" w:ascii="仿宋_GB2312" w:hAnsi="仿宋_GB2312" w:eastAsia="仿宋_GB2312" w:cs="仿宋_GB2312"/>
          <w:sz w:val="28"/>
          <w:szCs w:val="28"/>
          <w:lang w:eastAsia="zh-CN"/>
        </w:rPr>
        <w:t>转为质保金，</w:t>
      </w:r>
      <w:r>
        <w:rPr>
          <w:rFonts w:hint="eastAsia" w:ascii="仿宋_GB2312" w:hAnsi="仿宋_GB2312" w:eastAsia="仿宋_GB2312" w:cs="仿宋_GB2312"/>
          <w:sz w:val="28"/>
          <w:szCs w:val="28"/>
        </w:rPr>
        <w:t>质保期结束时无质量</w:t>
      </w:r>
      <w:r>
        <w:rPr>
          <w:rFonts w:hint="eastAsia" w:ascii="仿宋_GB2312" w:hAnsi="仿宋_GB2312" w:eastAsia="仿宋_GB2312" w:cs="仿宋_GB2312"/>
          <w:sz w:val="28"/>
          <w:szCs w:val="28"/>
          <w:lang w:eastAsia="zh-CN"/>
        </w:rPr>
        <w:t>及服务</w:t>
      </w:r>
      <w:r>
        <w:rPr>
          <w:rFonts w:hint="eastAsia" w:ascii="仿宋_GB2312" w:hAnsi="仿宋_GB2312" w:eastAsia="仿宋_GB2312" w:cs="仿宋_GB2312"/>
          <w:sz w:val="28"/>
          <w:szCs w:val="28"/>
        </w:rPr>
        <w:t>问题一次性不计息退还。</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.2甲方有权对乙方所供应产品进行检验，若检验结果不符合本谈判文件的要求，甲方将退回所有货物或索赔，且不予支付任何费用，所有责任由乙方承担。</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、合同生效：本合同在甲方收取乙方提交的履约保证金，且经甲、乙双方签字盖章后生效。</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、本合同一式叁份，以中文书写。甲方两份，乙方一份，具有同等法律效力。</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、本协议未尽事宜双方协商解决，协商不成可向甲方所在地人民法院诉讼。</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甲方（盖章）：赣州市人民医院      乙方（盖章）：  </w:t>
      </w:r>
    </w:p>
    <w:p>
      <w:pPr>
        <w:widowControl/>
        <w:spacing w:line="440" w:lineRule="exact"/>
        <w:jc w:val="left"/>
        <w:rPr>
          <w:rFonts w:ascii="仿宋_GB2312" w:hAnsi="仿宋_GB2312" w:eastAsia="仿宋_GB2312" w:cs="仿宋_GB2312"/>
          <w:sz w:val="28"/>
          <w:szCs w:val="28"/>
        </w:rPr>
      </w:pP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代表签字 ：                      代表签字 </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电话：0797- 电话：</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传真：0797-            传真：</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纳税人识别号：360701491750681    开户行：</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账号：</w:t>
      </w:r>
    </w:p>
    <w:p>
      <w:pPr>
        <w:spacing w:line="440" w:lineRule="exact"/>
        <w:rPr>
          <w:rFonts w:hint="eastAsia"/>
          <w:b/>
          <w:sz w:val="32"/>
        </w:rPr>
      </w:pPr>
      <w:bookmarkStart w:id="21" w:name="_Toc533775678"/>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pPr>
      <w:r>
        <w:rPr>
          <w:rFonts w:hint="eastAsia"/>
          <w:b/>
          <w:sz w:val="32"/>
        </w:rPr>
        <w:t>附件  响应文件格式</w:t>
      </w:r>
      <w:bookmarkEnd w:id="19"/>
      <w:bookmarkEnd w:id="20"/>
      <w:bookmarkEnd w:id="21"/>
      <w:bookmarkStart w:id="38" w:name="_GoBack"/>
      <w:bookmarkEnd w:id="38"/>
    </w:p>
    <w:p>
      <w:pPr>
        <w:pStyle w:val="2"/>
        <w:spacing w:line="440" w:lineRule="atLeast"/>
        <w:rPr>
          <w:rFonts w:hint="eastAsia" w:asciiTheme="minorEastAsia" w:hAnsiTheme="minorEastAsia" w:eastAsiaTheme="minorEastAsia"/>
          <w:b/>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
      <w:pPr>
        <w:spacing w:line="440" w:lineRule="atLeast"/>
        <w:jc w:val="center"/>
        <w:rPr>
          <w:rFonts w:hint="eastAsia" w:asciiTheme="minorEastAsia" w:hAnsiTheme="minorEastAsia" w:eastAsiaTheme="minorEastAsia"/>
          <w:b/>
          <w:sz w:val="72"/>
          <w:szCs w:val="72"/>
        </w:rPr>
      </w:pPr>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7" w:type="first"/>
          <w:pgSz w:w="11907" w:h="16840"/>
          <w:pgMar w:top="1474" w:right="850" w:bottom="1474" w:left="1134" w:header="720" w:footer="720" w:gutter="0"/>
          <w:pgNumType w:start="1"/>
          <w:cols w:space="720" w:num="1"/>
          <w:titlePg/>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2" w:name="_Toc533775679"/>
      <w:r>
        <w:rPr>
          <w:rFonts w:hint="eastAsia"/>
          <w:b/>
          <w:sz w:val="32"/>
        </w:rPr>
        <w:t>1. 谈判响应书</w:t>
      </w:r>
      <w:bookmarkEnd w:id="22"/>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    传真</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电话    电子邮件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8" w:type="default"/>
          <w:pgSz w:w="11907" w:h="16840"/>
          <w:pgMar w:top="1474" w:right="1134" w:bottom="1474" w:left="1134" w:header="720" w:footer="720" w:gutter="0"/>
          <w:cols w:space="720" w:num="1"/>
          <w:docGrid w:linePitch="285" w:charSpace="0"/>
        </w:sectPr>
      </w:pPr>
    </w:p>
    <w:p>
      <w:pPr>
        <w:pStyle w:val="2"/>
        <w:spacing w:before="240" w:after="240"/>
        <w:jc w:val="center"/>
        <w:rPr>
          <w:b/>
          <w:sz w:val="32"/>
        </w:rPr>
      </w:pPr>
      <w:bookmarkStart w:id="23" w:name="_Toc533775680"/>
      <w:r>
        <w:rPr>
          <w:rFonts w:hint="eastAsia"/>
          <w:b/>
          <w:sz w:val="32"/>
        </w:rPr>
        <w:t>2．报价表</w:t>
      </w:r>
      <w:bookmarkEnd w:id="23"/>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8"/>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3936" w:type="dxa"/>
            <w:gridSpan w:val="11"/>
            <w:vAlign w:val="center"/>
          </w:tcPr>
          <w:p>
            <w:pPr>
              <w:spacing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9" w:type="default"/>
          <w:footerReference r:id="rId10" w:type="even"/>
          <w:pgSz w:w="16840" w:h="11907" w:orient="landscape"/>
          <w:pgMar w:top="1134" w:right="1474" w:bottom="1814" w:left="1474" w:header="720" w:footer="720" w:gutter="0"/>
          <w:cols w:space="720" w:num="1"/>
          <w:docGrid w:linePitch="285" w:charSpace="0"/>
        </w:sectPr>
      </w:pPr>
    </w:p>
    <w:p>
      <w:pPr>
        <w:pStyle w:val="2"/>
        <w:spacing w:before="240" w:after="240"/>
        <w:jc w:val="center"/>
        <w:rPr>
          <w:b/>
          <w:sz w:val="32"/>
        </w:rPr>
      </w:pPr>
      <w:bookmarkStart w:id="24" w:name="_Toc533775681"/>
      <w:r>
        <w:rPr>
          <w:rFonts w:hint="eastAsia"/>
          <w:b/>
          <w:sz w:val="32"/>
        </w:rPr>
        <w:t>3．分项报价表</w:t>
      </w:r>
      <w:bookmarkEnd w:id="24"/>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18"/>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2"/>
      <w:r>
        <w:rPr>
          <w:rFonts w:hint="eastAsia"/>
          <w:b/>
          <w:sz w:val="32"/>
        </w:rPr>
        <w:t>4</w:t>
      </w:r>
      <w:r>
        <w:rPr>
          <w:b/>
          <w:sz w:val="32"/>
        </w:rPr>
        <w:t>.</w:t>
      </w:r>
      <w:r>
        <w:rPr>
          <w:rFonts w:hint="eastAsia"/>
          <w:b/>
          <w:sz w:val="32"/>
        </w:rPr>
        <w:t xml:space="preserve"> 技术规格响应/偏离表</w:t>
      </w:r>
      <w:bookmarkEnd w:id="25"/>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1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3"/>
      <w:r>
        <w:rPr>
          <w:rFonts w:hint="eastAsia"/>
          <w:b/>
          <w:sz w:val="32"/>
        </w:rPr>
        <w:t>5</w:t>
      </w:r>
      <w:r>
        <w:rPr>
          <w:b/>
          <w:sz w:val="32"/>
        </w:rPr>
        <w:t>.</w:t>
      </w:r>
      <w:r>
        <w:rPr>
          <w:rFonts w:hint="eastAsia"/>
          <w:b/>
          <w:sz w:val="32"/>
        </w:rPr>
        <w:t xml:space="preserve"> 商务条款响应/偏离表</w:t>
      </w:r>
      <w:bookmarkEnd w:id="26"/>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1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7" w:name="_Toc533775684"/>
      <w:r>
        <w:rPr>
          <w:rFonts w:hint="eastAsia"/>
          <w:b/>
          <w:sz w:val="32"/>
        </w:rPr>
        <w:t>6</w:t>
      </w:r>
      <w:r>
        <w:rPr>
          <w:b/>
          <w:sz w:val="32"/>
        </w:rPr>
        <w:t>.</w:t>
      </w:r>
      <w:r>
        <w:rPr>
          <w:rFonts w:hint="eastAsia"/>
          <w:b/>
          <w:sz w:val="32"/>
        </w:rPr>
        <w:t xml:space="preserve"> 其他证明资料</w:t>
      </w:r>
      <w:bookmarkEnd w:id="27"/>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8" w:name="_Toc475970091"/>
      <w:r>
        <w:rPr>
          <w:rFonts w:hint="eastAsia" w:asciiTheme="minorEastAsia" w:hAnsiTheme="minorEastAsia" w:eastAsiaTheme="minorEastAsia"/>
          <w:b/>
          <w:sz w:val="24"/>
          <w:szCs w:val="24"/>
        </w:rPr>
        <w:t>格式6-1. 供应商情况一览表</w:t>
      </w:r>
      <w:bookmarkEnd w:id="28"/>
    </w:p>
    <w:p>
      <w:pPr>
        <w:spacing w:line="440" w:lineRule="atLeast"/>
        <w:jc w:val="center"/>
        <w:rPr>
          <w:rFonts w:asciiTheme="minorEastAsia" w:hAnsiTheme="minorEastAsia" w:eastAsiaTheme="minorEastAsia"/>
          <w:sz w:val="24"/>
          <w:szCs w:val="24"/>
        </w:rPr>
      </w:pPr>
    </w:p>
    <w:tbl>
      <w:tblPr>
        <w:tblStyle w:val="18"/>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9" w:name="_Toc475970092"/>
      <w:bookmarkStart w:id="30" w:name="_Toc461116134"/>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9"/>
      <w:bookmarkEnd w:id="30"/>
    </w:p>
    <w:p>
      <w:pPr>
        <w:spacing w:line="440" w:lineRule="atLeast"/>
        <w:jc w:val="center"/>
        <w:rPr>
          <w:rFonts w:asciiTheme="minorEastAsia" w:hAnsiTheme="minorEastAsia" w:eastAsiaTheme="minorEastAsia"/>
          <w:sz w:val="24"/>
          <w:szCs w:val="24"/>
        </w:rPr>
      </w:pPr>
    </w:p>
    <w:tbl>
      <w:tblPr>
        <w:tblStyle w:val="18"/>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1" w:name="_Toc533775686"/>
      <w:r>
        <w:rPr>
          <w:rFonts w:hint="eastAsia"/>
          <w:b/>
          <w:sz w:val="32"/>
        </w:rPr>
        <w:t>7</w:t>
      </w:r>
      <w:r>
        <w:rPr>
          <w:b/>
          <w:sz w:val="32"/>
        </w:rPr>
        <w:t>.</w:t>
      </w:r>
      <w:r>
        <w:rPr>
          <w:rFonts w:hint="eastAsia"/>
          <w:b/>
          <w:sz w:val="32"/>
        </w:rPr>
        <w:t>技术文件</w:t>
      </w:r>
      <w:bookmarkEnd w:id="31"/>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1" w:type="default"/>
          <w:pgSz w:w="11906" w:h="16838"/>
          <w:pgMar w:top="1418" w:right="1247" w:bottom="1418" w:left="1814" w:header="851" w:footer="992" w:gutter="0"/>
          <w:cols w:space="425" w:num="1"/>
          <w:docGrid w:type="lines" w:linePitch="312" w:charSpace="0"/>
        </w:sectPr>
      </w:pPr>
    </w:p>
    <w:p>
      <w:pPr>
        <w:pStyle w:val="2"/>
        <w:spacing w:before="240" w:after="240"/>
        <w:jc w:val="center"/>
        <w:rPr>
          <w:b/>
          <w:sz w:val="32"/>
        </w:rPr>
      </w:pPr>
      <w:bookmarkStart w:id="32" w:name="_Toc293934829"/>
      <w:bookmarkStart w:id="33" w:name="_Toc533775687"/>
      <w:r>
        <w:rPr>
          <w:rFonts w:hint="eastAsia"/>
          <w:b/>
          <w:sz w:val="32"/>
        </w:rPr>
        <w:t>8</w:t>
      </w:r>
      <w:r>
        <w:rPr>
          <w:b/>
          <w:sz w:val="32"/>
        </w:rPr>
        <w:t>.</w:t>
      </w:r>
      <w:bookmarkEnd w:id="32"/>
      <w:r>
        <w:rPr>
          <w:rFonts w:hint="eastAsia"/>
          <w:b/>
          <w:sz w:val="32"/>
        </w:rPr>
        <w:t>供应商应当提交的资格、资信证明文件</w:t>
      </w:r>
      <w:bookmarkEnd w:id="33"/>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2" w:type="default"/>
          <w:footerReference r:id="rId13" w:type="even"/>
          <w:pgSz w:w="11906" w:h="16838"/>
          <w:pgMar w:top="1418" w:right="1361" w:bottom="1361" w:left="1701" w:header="851" w:footer="992" w:gutter="0"/>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4" w:name="_Toc262628298"/>
      <w:bookmarkStart w:id="35" w:name="_Toc262628299"/>
      <w:r>
        <w:rPr>
          <w:rFonts w:hint="eastAsia" w:asciiTheme="minorEastAsia" w:hAnsiTheme="minorEastAsia" w:eastAsiaTheme="minorEastAsia"/>
          <w:b/>
          <w:sz w:val="24"/>
          <w:szCs w:val="24"/>
        </w:rPr>
        <w:t>格式8-6.供应商的资格声明</w:t>
      </w:r>
      <w:bookmarkEnd w:id="34"/>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35"/>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6" w:name="_Toc495487764"/>
      <w:bookmarkStart w:id="37" w:name="_Toc499477458"/>
      <w:r>
        <w:rPr>
          <w:rFonts w:hint="eastAsia" w:asciiTheme="minorEastAsia" w:hAnsiTheme="minorEastAsia" w:eastAsiaTheme="minorEastAsia"/>
          <w:b/>
          <w:sz w:val="24"/>
          <w:szCs w:val="24"/>
        </w:rPr>
        <w:t>8-7.其他资格证明文件</w:t>
      </w:r>
      <w:bookmarkEnd w:id="36"/>
      <w:bookmarkEnd w:id="37"/>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4" w:type="default"/>
      <w:pgSz w:w="11906" w:h="16838"/>
      <w:pgMar w:top="1440" w:right="1418" w:bottom="1440"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26</w:t>
    </w:r>
    <w:r>
      <w:rPr>
        <w:rStyle w:val="21"/>
      </w:rP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41087"/>
    </w:sdtPr>
    <w:sdtContent>
      <w:p>
        <w:pPr>
          <w:pStyle w:val="12"/>
          <w:jc w:val="center"/>
        </w:pPr>
      </w:p>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890103"/>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13</w:t>
    </w:r>
    <w:r>
      <w:rPr>
        <w:rStyle w:val="21"/>
      </w:rPr>
      <w:fldChar w:fldCharType="end"/>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14</w:t>
    </w:r>
    <w:r>
      <w:rPr>
        <w:rStyle w:val="21"/>
      </w:rPr>
      <w:fldChar w:fldCharType="end"/>
    </w: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16</w:t>
    </w:r>
    <w:r>
      <w:rPr>
        <w:rStyle w:val="21"/>
      </w:rPr>
      <w:fldChar w:fldCharType="end"/>
    </w:r>
  </w:p>
  <w:p>
    <w:pPr>
      <w:pStyle w:val="12"/>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21</w:t>
    </w:r>
    <w:r>
      <w:rPr>
        <w:rStyle w:val="21"/>
      </w:rPr>
      <w:fldChar w:fldCharType="end"/>
    </w:r>
  </w:p>
  <w:p>
    <w:pPr>
      <w:pStyle w:val="12"/>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F0C52"/>
    <w:rsid w:val="00062EC7"/>
    <w:rsid w:val="0008464A"/>
    <w:rsid w:val="000B0F07"/>
    <w:rsid w:val="000D4D4A"/>
    <w:rsid w:val="000E59B1"/>
    <w:rsid w:val="0016252E"/>
    <w:rsid w:val="001D45E0"/>
    <w:rsid w:val="001F265F"/>
    <w:rsid w:val="001F6F82"/>
    <w:rsid w:val="00241EC0"/>
    <w:rsid w:val="00243259"/>
    <w:rsid w:val="002823A6"/>
    <w:rsid w:val="0029334A"/>
    <w:rsid w:val="002F0C52"/>
    <w:rsid w:val="00320237"/>
    <w:rsid w:val="0037103C"/>
    <w:rsid w:val="003C3981"/>
    <w:rsid w:val="003D7CBF"/>
    <w:rsid w:val="00436AB7"/>
    <w:rsid w:val="00470E9F"/>
    <w:rsid w:val="004F57EE"/>
    <w:rsid w:val="00595898"/>
    <w:rsid w:val="005970B0"/>
    <w:rsid w:val="005A1707"/>
    <w:rsid w:val="005C1514"/>
    <w:rsid w:val="00606F17"/>
    <w:rsid w:val="0068322F"/>
    <w:rsid w:val="006A6165"/>
    <w:rsid w:val="006B2115"/>
    <w:rsid w:val="007054CD"/>
    <w:rsid w:val="007F33BD"/>
    <w:rsid w:val="00887C6A"/>
    <w:rsid w:val="008C31FC"/>
    <w:rsid w:val="008C3ADA"/>
    <w:rsid w:val="00946E9E"/>
    <w:rsid w:val="00A2769E"/>
    <w:rsid w:val="00A574FA"/>
    <w:rsid w:val="00B1204C"/>
    <w:rsid w:val="00B31A76"/>
    <w:rsid w:val="00BA54A1"/>
    <w:rsid w:val="00BD0040"/>
    <w:rsid w:val="00BD7DFC"/>
    <w:rsid w:val="00BF161C"/>
    <w:rsid w:val="00CE5392"/>
    <w:rsid w:val="00E113B0"/>
    <w:rsid w:val="00E87C1E"/>
    <w:rsid w:val="00F138FE"/>
    <w:rsid w:val="00F204CC"/>
    <w:rsid w:val="00F66CFE"/>
    <w:rsid w:val="00F7786A"/>
    <w:rsid w:val="020413E9"/>
    <w:rsid w:val="0448514B"/>
    <w:rsid w:val="05973165"/>
    <w:rsid w:val="05A259F1"/>
    <w:rsid w:val="06434357"/>
    <w:rsid w:val="064E10EF"/>
    <w:rsid w:val="08C4420C"/>
    <w:rsid w:val="08E90CBA"/>
    <w:rsid w:val="09674909"/>
    <w:rsid w:val="0DBF66E3"/>
    <w:rsid w:val="0E161F02"/>
    <w:rsid w:val="0E6D6CCE"/>
    <w:rsid w:val="0FE71854"/>
    <w:rsid w:val="10F77714"/>
    <w:rsid w:val="11071F81"/>
    <w:rsid w:val="136F081D"/>
    <w:rsid w:val="13D2318F"/>
    <w:rsid w:val="15A16E90"/>
    <w:rsid w:val="15BB0E83"/>
    <w:rsid w:val="16922AC4"/>
    <w:rsid w:val="185F2E14"/>
    <w:rsid w:val="18974BDB"/>
    <w:rsid w:val="1967240D"/>
    <w:rsid w:val="19DF34F2"/>
    <w:rsid w:val="1A6D0F24"/>
    <w:rsid w:val="1CAF519E"/>
    <w:rsid w:val="1CE11745"/>
    <w:rsid w:val="1DE11676"/>
    <w:rsid w:val="1EDD6A9D"/>
    <w:rsid w:val="20E02845"/>
    <w:rsid w:val="21152A38"/>
    <w:rsid w:val="216107B1"/>
    <w:rsid w:val="21B40E5C"/>
    <w:rsid w:val="21C207F2"/>
    <w:rsid w:val="23496D4C"/>
    <w:rsid w:val="24093674"/>
    <w:rsid w:val="24130CCA"/>
    <w:rsid w:val="24326DF1"/>
    <w:rsid w:val="24D647F1"/>
    <w:rsid w:val="24E84FBD"/>
    <w:rsid w:val="2520200B"/>
    <w:rsid w:val="2787664C"/>
    <w:rsid w:val="28791CF2"/>
    <w:rsid w:val="29287D72"/>
    <w:rsid w:val="29A84304"/>
    <w:rsid w:val="29B65A5E"/>
    <w:rsid w:val="2DA97F02"/>
    <w:rsid w:val="2E391AD9"/>
    <w:rsid w:val="2E67723B"/>
    <w:rsid w:val="2EA451BE"/>
    <w:rsid w:val="2F0C4AC8"/>
    <w:rsid w:val="301F291B"/>
    <w:rsid w:val="316C7EBF"/>
    <w:rsid w:val="34866C46"/>
    <w:rsid w:val="34BB1276"/>
    <w:rsid w:val="350230B9"/>
    <w:rsid w:val="35A6339D"/>
    <w:rsid w:val="37285450"/>
    <w:rsid w:val="37513ABD"/>
    <w:rsid w:val="37DF52E0"/>
    <w:rsid w:val="3AD701D3"/>
    <w:rsid w:val="3C0279F7"/>
    <w:rsid w:val="3C4068E3"/>
    <w:rsid w:val="3C5B277C"/>
    <w:rsid w:val="3C8461D9"/>
    <w:rsid w:val="3DB86EC2"/>
    <w:rsid w:val="3E36565C"/>
    <w:rsid w:val="3ECB7762"/>
    <w:rsid w:val="3EEA28A8"/>
    <w:rsid w:val="3F4C71C7"/>
    <w:rsid w:val="3F55754B"/>
    <w:rsid w:val="3F566DB0"/>
    <w:rsid w:val="40044169"/>
    <w:rsid w:val="423255A5"/>
    <w:rsid w:val="427450A4"/>
    <w:rsid w:val="44AC07D5"/>
    <w:rsid w:val="494F036B"/>
    <w:rsid w:val="49596981"/>
    <w:rsid w:val="49D613E8"/>
    <w:rsid w:val="4A421755"/>
    <w:rsid w:val="4AD203D4"/>
    <w:rsid w:val="4B3C629F"/>
    <w:rsid w:val="4CD92AC2"/>
    <w:rsid w:val="4F0E7890"/>
    <w:rsid w:val="508F015D"/>
    <w:rsid w:val="52D50E88"/>
    <w:rsid w:val="530D2540"/>
    <w:rsid w:val="53E66CFA"/>
    <w:rsid w:val="55B67588"/>
    <w:rsid w:val="5A8E1A1B"/>
    <w:rsid w:val="5AD7610B"/>
    <w:rsid w:val="5AE1172E"/>
    <w:rsid w:val="5CAD7067"/>
    <w:rsid w:val="5CCB1131"/>
    <w:rsid w:val="5CE36945"/>
    <w:rsid w:val="5E4E7C8E"/>
    <w:rsid w:val="5F482BBC"/>
    <w:rsid w:val="60423A38"/>
    <w:rsid w:val="608B564A"/>
    <w:rsid w:val="610E1933"/>
    <w:rsid w:val="630D14AE"/>
    <w:rsid w:val="63470076"/>
    <w:rsid w:val="6381334D"/>
    <w:rsid w:val="63F159D4"/>
    <w:rsid w:val="64296BB3"/>
    <w:rsid w:val="68552D56"/>
    <w:rsid w:val="6A80498B"/>
    <w:rsid w:val="6AC25355"/>
    <w:rsid w:val="6C9D14D3"/>
    <w:rsid w:val="6CB707CE"/>
    <w:rsid w:val="6CEB6296"/>
    <w:rsid w:val="6F066E31"/>
    <w:rsid w:val="6F3540E4"/>
    <w:rsid w:val="716C1DBF"/>
    <w:rsid w:val="7189237A"/>
    <w:rsid w:val="71B205C1"/>
    <w:rsid w:val="71C93182"/>
    <w:rsid w:val="72106282"/>
    <w:rsid w:val="73192E1A"/>
    <w:rsid w:val="73E877E6"/>
    <w:rsid w:val="74096E6C"/>
    <w:rsid w:val="749367EB"/>
    <w:rsid w:val="76212F88"/>
    <w:rsid w:val="77855D8E"/>
    <w:rsid w:val="77A607E9"/>
    <w:rsid w:val="77AD6383"/>
    <w:rsid w:val="79223551"/>
    <w:rsid w:val="79481457"/>
    <w:rsid w:val="7B4E2D2D"/>
    <w:rsid w:val="7BBC0059"/>
    <w:rsid w:val="7CF52A24"/>
    <w:rsid w:val="7F393964"/>
    <w:rsid w:val="7F7714E9"/>
    <w:rsid w:val="7F96275D"/>
    <w:rsid w:val="7F9F7E17"/>
    <w:rsid w:val="7FA9656F"/>
    <w:rsid w:val="7FEA6A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Body Text"/>
    <w:basedOn w:val="1"/>
    <w:link w:val="41"/>
    <w:qFormat/>
    <w:uiPriority w:val="0"/>
    <w:pPr>
      <w:spacing w:after="120"/>
    </w:pPr>
  </w:style>
  <w:style w:type="paragraph" w:styleId="7">
    <w:name w:val="toc 3"/>
    <w:basedOn w:val="1"/>
    <w:next w:val="1"/>
    <w:qFormat/>
    <w:uiPriority w:val="39"/>
    <w:pPr>
      <w:ind w:left="840" w:leftChars="400"/>
    </w:pPr>
  </w:style>
  <w:style w:type="paragraph" w:styleId="8">
    <w:name w:val="Plain Text"/>
    <w:basedOn w:val="1"/>
    <w:link w:val="31"/>
    <w:qFormat/>
    <w:uiPriority w:val="0"/>
    <w:pPr>
      <w:spacing w:line="360" w:lineRule="auto"/>
    </w:pPr>
    <w:rPr>
      <w:rFonts w:ascii="楷体_GB2312" w:hAnsi="Courier New" w:eastAsia="楷体_GB2312"/>
      <w:sz w:val="24"/>
    </w:rPr>
  </w:style>
  <w:style w:type="paragraph" w:styleId="9">
    <w:name w:val="Date"/>
    <w:basedOn w:val="1"/>
    <w:next w:val="1"/>
    <w:link w:val="37"/>
    <w:qFormat/>
    <w:uiPriority w:val="0"/>
    <w:rPr>
      <w:sz w:val="28"/>
    </w:rPr>
  </w:style>
  <w:style w:type="paragraph" w:styleId="10">
    <w:name w:val="Body Text Indent 2"/>
    <w:basedOn w:val="1"/>
    <w:link w:val="29"/>
    <w:qFormat/>
    <w:uiPriority w:val="99"/>
    <w:pPr>
      <w:spacing w:line="312" w:lineRule="auto"/>
      <w:ind w:firstLine="480" w:firstLineChars="200"/>
    </w:pPr>
    <w:rPr>
      <w:sz w:val="24"/>
    </w:rPr>
  </w:style>
  <w:style w:type="paragraph" w:styleId="11">
    <w:name w:val="Balloon Text"/>
    <w:basedOn w:val="1"/>
    <w:link w:val="35"/>
    <w:semiHidden/>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913"/>
      </w:tabs>
      <w:ind w:firstLine="422" w:firstLineChars="200"/>
    </w:pPr>
    <w:rPr>
      <w:b/>
    </w:rPr>
  </w:style>
  <w:style w:type="paragraph" w:styleId="15">
    <w:name w:val="toc 2"/>
    <w:basedOn w:val="1"/>
    <w:next w:val="1"/>
    <w:qFormat/>
    <w:uiPriority w:val="39"/>
    <w:pPr>
      <w:tabs>
        <w:tab w:val="left" w:pos="941"/>
        <w:tab w:val="right" w:leader="dot" w:pos="9923"/>
      </w:tabs>
      <w:ind w:left="420" w:leftChars="200" w:right="283" w:rightChars="135"/>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5"/>
    <w:next w:val="5"/>
    <w:link w:val="34"/>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眉 Char"/>
    <w:basedOn w:val="20"/>
    <w:link w:val="13"/>
    <w:semiHidden/>
    <w:qFormat/>
    <w:uiPriority w:val="99"/>
    <w:rPr>
      <w:sz w:val="18"/>
      <w:szCs w:val="18"/>
    </w:rPr>
  </w:style>
  <w:style w:type="character" w:customStyle="1" w:styleId="25">
    <w:name w:val="页脚 Char"/>
    <w:basedOn w:val="20"/>
    <w:link w:val="12"/>
    <w:qFormat/>
    <w:uiPriority w:val="0"/>
    <w:rPr>
      <w:sz w:val="18"/>
      <w:szCs w:val="18"/>
    </w:rPr>
  </w:style>
  <w:style w:type="character" w:customStyle="1" w:styleId="26">
    <w:name w:val="标题 1 Char"/>
    <w:basedOn w:val="20"/>
    <w:link w:val="2"/>
    <w:qFormat/>
    <w:uiPriority w:val="99"/>
    <w:rPr>
      <w:rFonts w:ascii="宋体" w:hAnsi="Times New Roman" w:eastAsia="宋体" w:cs="Times New Roman"/>
      <w:sz w:val="28"/>
      <w:szCs w:val="20"/>
    </w:rPr>
  </w:style>
  <w:style w:type="character" w:customStyle="1" w:styleId="27">
    <w:name w:val="标题 2 Char"/>
    <w:basedOn w:val="20"/>
    <w:link w:val="3"/>
    <w:qFormat/>
    <w:uiPriority w:val="99"/>
    <w:rPr>
      <w:rFonts w:ascii="Arial" w:hAnsi="Arial" w:eastAsia="黑体" w:cs="Times New Roman"/>
      <w:b/>
      <w:bCs/>
      <w:sz w:val="32"/>
      <w:szCs w:val="32"/>
    </w:rPr>
  </w:style>
  <w:style w:type="character" w:customStyle="1" w:styleId="28">
    <w:name w:val="标题 3 Char"/>
    <w:basedOn w:val="20"/>
    <w:link w:val="4"/>
    <w:qFormat/>
    <w:uiPriority w:val="0"/>
    <w:rPr>
      <w:rFonts w:ascii="Times New Roman" w:hAnsi="Times New Roman" w:eastAsia="宋体" w:cs="Times New Roman"/>
      <w:b/>
      <w:bCs/>
      <w:sz w:val="32"/>
      <w:szCs w:val="32"/>
    </w:rPr>
  </w:style>
  <w:style w:type="character" w:customStyle="1" w:styleId="29">
    <w:name w:val="正文文本缩进 2 Char"/>
    <w:basedOn w:val="20"/>
    <w:link w:val="10"/>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20"/>
    <w:link w:val="8"/>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20"/>
    <w:link w:val="5"/>
    <w:semiHidden/>
    <w:qFormat/>
    <w:uiPriority w:val="0"/>
    <w:rPr>
      <w:rFonts w:ascii="Times New Roman" w:hAnsi="Times New Roman" w:eastAsia="宋体" w:cs="Times New Roman"/>
      <w:szCs w:val="20"/>
    </w:rPr>
  </w:style>
  <w:style w:type="character" w:customStyle="1" w:styleId="34">
    <w:name w:val="批注主题 Char"/>
    <w:basedOn w:val="33"/>
    <w:link w:val="17"/>
    <w:semiHidden/>
    <w:qFormat/>
    <w:uiPriority w:val="0"/>
    <w:rPr>
      <w:b/>
      <w:bCs/>
    </w:rPr>
  </w:style>
  <w:style w:type="character" w:customStyle="1" w:styleId="35">
    <w:name w:val="批注框文本 Char"/>
    <w:basedOn w:val="20"/>
    <w:link w:val="11"/>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20"/>
    <w:link w:val="9"/>
    <w:qFormat/>
    <w:uiPriority w:val="0"/>
    <w:rPr>
      <w:rFonts w:ascii="Times New Roman" w:hAnsi="Times New Roman" w:eastAsia="宋体" w:cs="Times New Roman"/>
      <w:sz w:val="28"/>
      <w:szCs w:val="20"/>
    </w:rPr>
  </w:style>
  <w:style w:type="paragraph" w:customStyle="1" w:styleId="38">
    <w:name w:val="Char"/>
    <w:basedOn w:val="1"/>
    <w:qFormat/>
    <w:uiPriority w:val="0"/>
    <w:rPr>
      <w:rFonts w:ascii="FangSong_GB2312" w:eastAsia="FangSong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20"/>
    <w:qFormat/>
    <w:uiPriority w:val="0"/>
  </w:style>
  <w:style w:type="character" w:customStyle="1" w:styleId="41">
    <w:name w:val="正文文本 Char"/>
    <w:basedOn w:val="20"/>
    <w:link w:val="6"/>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Pages>
  <Words>1629</Words>
  <Characters>9289</Characters>
  <Lines>77</Lines>
  <Paragraphs>21</Paragraphs>
  <TotalTime>7</TotalTime>
  <ScaleCrop>false</ScaleCrop>
  <LinksUpToDate>false</LinksUpToDate>
  <CharactersWithSpaces>10897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2018-12-28T07:44:00Z</dcterms:created>
  <dc:creator>NTKO</dc:creator>
  <cp:lastModifiedBy>Administrator</cp:lastModifiedBy>
  <dcterms:modified xsi:type="dcterms:W3CDTF">2019-05-31T03:54:45Z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