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val="en-US" w:eastAsia="zh-CN"/>
        </w:rPr>
        <w:t>HIS</w:t>
      </w:r>
      <w:r>
        <w:rPr>
          <w:rFonts w:hint="eastAsia" w:eastAsia="黑体"/>
          <w:b/>
          <w:bCs/>
          <w:sz w:val="32"/>
        </w:rPr>
        <w:t>服务器扩</w:t>
      </w:r>
      <w:r>
        <w:rPr>
          <w:rFonts w:hint="eastAsia" w:eastAsia="黑体"/>
          <w:b/>
          <w:bCs/>
          <w:sz w:val="32"/>
          <w:highlight w:val="none"/>
        </w:rPr>
        <w:t>容采购项</w:t>
      </w:r>
      <w:r>
        <w:rPr>
          <w:rFonts w:hint="eastAsia" w:eastAsia="黑体"/>
          <w:b/>
          <w:bCs/>
          <w:sz w:val="32"/>
        </w:rPr>
        <w:t>目</w:t>
      </w:r>
    </w:p>
    <w:p>
      <w:pPr>
        <w:spacing w:line="480" w:lineRule="auto"/>
        <w:rPr>
          <w:rFonts w:hint="eastAsia" w:ascii="黑体" w:hAnsi="黑体" w:eastAsia="黑体" w:cs="黑体"/>
          <w:b/>
          <w:bCs/>
          <w:color w:val="auto"/>
          <w:sz w:val="32"/>
        </w:rPr>
      </w:pPr>
    </w:p>
    <w:p>
      <w:pPr>
        <w:spacing w:line="480" w:lineRule="auto"/>
        <w:rPr>
          <w:rFonts w:hint="eastAsia" w:ascii="黑体" w:hAnsi="黑体" w:eastAsia="黑体" w:cs="黑体"/>
          <w:b/>
          <w:bCs/>
          <w:color w:val="auto"/>
          <w:sz w:val="32"/>
        </w:rPr>
      </w:pPr>
    </w:p>
    <w:p>
      <w:pPr>
        <w:spacing w:line="480" w:lineRule="auto"/>
        <w:ind w:firstLine="1263" w:firstLineChars="393"/>
        <w:rPr>
          <w:rFonts w:hint="eastAsia" w:ascii="黑体" w:hAnsi="黑体" w:eastAsia="黑体" w:cs="黑体"/>
          <w:b/>
          <w:bCs/>
          <w:color w:val="auto"/>
          <w:sz w:val="32"/>
          <w:lang w:val="en-US" w:eastAsia="zh-CN"/>
        </w:rPr>
      </w:pPr>
      <w:r>
        <w:rPr>
          <w:rFonts w:hint="eastAsia" w:ascii="黑体" w:hAnsi="黑体" w:eastAsia="黑体" w:cs="黑体"/>
          <w:b/>
          <w:bCs/>
          <w:color w:val="auto"/>
          <w:sz w:val="32"/>
        </w:rPr>
        <w:t>项目编号：</w:t>
      </w:r>
      <w:r>
        <w:rPr>
          <w:rFonts w:hint="eastAsia" w:ascii="黑体" w:hAnsi="黑体" w:eastAsia="黑体" w:cs="黑体"/>
          <w:b/>
          <w:bCs/>
          <w:color w:val="auto"/>
          <w:sz w:val="32"/>
          <w:lang w:val="en-US" w:eastAsia="zh-CN"/>
        </w:rPr>
        <w:t>YN2020-002</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w:t>
      </w:r>
      <w:r>
        <w:rPr>
          <w:rFonts w:hint="eastAsia" w:eastAsia="黑体"/>
          <w:b/>
          <w:bCs/>
          <w:sz w:val="32"/>
          <w:lang w:eastAsia="zh-CN"/>
        </w:rPr>
        <w:t>二</w:t>
      </w:r>
      <w:r>
        <w:rPr>
          <w:rFonts w:hint="eastAsia" w:eastAsia="黑体"/>
          <w:b/>
          <w:bCs/>
          <w:sz w:val="32"/>
          <w:lang w:val="en-US" w:eastAsia="zh-CN"/>
        </w:rPr>
        <w:t>0</w:t>
      </w:r>
      <w:r>
        <w:rPr>
          <w:rFonts w:hint="eastAsia" w:eastAsia="黑体"/>
          <w:b/>
          <w:bCs/>
          <w:sz w:val="32"/>
        </w:rPr>
        <w:t>年</w:t>
      </w:r>
      <w:r>
        <w:rPr>
          <w:rFonts w:hint="eastAsia" w:eastAsia="黑体"/>
          <w:b/>
          <w:bCs/>
          <w:sz w:val="32"/>
          <w:lang w:eastAsia="zh-CN"/>
        </w:rPr>
        <w:t>一</w:t>
      </w:r>
      <w:r>
        <w:rPr>
          <w:rFonts w:hint="eastAsia" w:eastAsia="黑体"/>
          <w:b/>
          <w:bCs/>
          <w:sz w:val="32"/>
        </w:rPr>
        <w:t>月</w:t>
      </w:r>
      <w:r>
        <w:rPr>
          <w:rFonts w:hint="eastAsia" w:eastAsia="黑体"/>
          <w:b/>
          <w:bCs/>
          <w:sz w:val="32"/>
          <w:lang w:eastAsia="zh-CN"/>
        </w:rPr>
        <w:t>十四</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hint="eastAsia" w:ascii="宋体" w:hAnsi="宋体" w:eastAsia="宋体" w:cs="宋体"/>
          <w:sz w:val="30"/>
          <w:szCs w:val="30"/>
        </w:rPr>
      </w:pPr>
      <w:r>
        <w:rPr>
          <w:rFonts w:hint="eastAsia" w:ascii="宋体" w:hAnsi="宋体" w:cs="宋体"/>
          <w:sz w:val="30"/>
          <w:szCs w:val="30"/>
        </w:rPr>
        <w:t>赣州市人民医院</w:t>
      </w:r>
      <w:r>
        <w:rPr>
          <w:rFonts w:hint="eastAsia" w:ascii="宋体" w:hAnsi="宋体" w:eastAsia="宋体" w:cs="宋体"/>
          <w:sz w:val="30"/>
          <w:szCs w:val="30"/>
        </w:rPr>
        <w:t>近期将对</w:t>
      </w:r>
      <w:r>
        <w:rPr>
          <w:rFonts w:hint="eastAsia" w:ascii="宋体" w:hAnsi="宋体" w:eastAsia="宋体" w:cs="宋体"/>
          <w:b w:val="0"/>
          <w:bCs w:val="0"/>
          <w:sz w:val="30"/>
          <w:szCs w:val="30"/>
          <w:lang w:val="en-US" w:eastAsia="zh-CN"/>
        </w:rPr>
        <w:t>HIS</w:t>
      </w:r>
      <w:r>
        <w:rPr>
          <w:rFonts w:hint="eastAsia" w:ascii="宋体" w:hAnsi="宋体" w:eastAsia="宋体" w:cs="宋体"/>
          <w:b w:val="0"/>
          <w:bCs w:val="0"/>
          <w:sz w:val="32"/>
        </w:rPr>
        <w:t>服务器扩</w:t>
      </w:r>
      <w:r>
        <w:rPr>
          <w:rFonts w:hint="eastAsia" w:ascii="宋体" w:hAnsi="宋体" w:eastAsia="宋体" w:cs="宋体"/>
          <w:b w:val="0"/>
          <w:bCs w:val="0"/>
          <w:sz w:val="32"/>
          <w:highlight w:val="none"/>
        </w:rPr>
        <w:t>容采购项</w:t>
      </w:r>
      <w:r>
        <w:rPr>
          <w:rFonts w:hint="eastAsia" w:ascii="宋体" w:hAnsi="宋体" w:eastAsia="宋体" w:cs="宋体"/>
          <w:b w:val="0"/>
          <w:bCs w:val="0"/>
          <w:sz w:val="32"/>
        </w:rPr>
        <w:t>目</w:t>
      </w:r>
      <w:r>
        <w:rPr>
          <w:rFonts w:hint="eastAsia" w:ascii="宋体" w:hAnsi="宋体" w:eastAsia="宋体" w:cs="宋体"/>
          <w:sz w:val="30"/>
          <w:szCs w:val="30"/>
        </w:rPr>
        <w:t>进行竞争性谈判采购。欢迎符合资格条件的供应商前来参加。</w:t>
      </w:r>
    </w:p>
    <w:p>
      <w:pPr>
        <w:pStyle w:val="10"/>
        <w:spacing w:line="460" w:lineRule="exact"/>
        <w:ind w:firstLine="602"/>
        <w:rPr>
          <w:rFonts w:hint="eastAsia" w:ascii="宋体" w:hAnsi="宋体" w:eastAsia="宋体" w:cs="宋体"/>
          <w:sz w:val="30"/>
          <w:szCs w:val="30"/>
          <w:lang w:eastAsia="zh-CN"/>
        </w:rPr>
      </w:pPr>
      <w:r>
        <w:rPr>
          <w:rFonts w:hint="eastAsia" w:ascii="宋体" w:hAnsi="宋体" w:cs="宋体"/>
          <w:b/>
          <w:bCs/>
          <w:sz w:val="30"/>
          <w:szCs w:val="30"/>
        </w:rPr>
        <w:t>（一）项目编号：</w:t>
      </w:r>
      <w:r>
        <w:rPr>
          <w:rFonts w:hint="eastAsia" w:ascii="宋体" w:hAnsi="宋体" w:cs="宋体"/>
          <w:sz w:val="30"/>
          <w:szCs w:val="30"/>
        </w:rPr>
        <w:t>YN20</w:t>
      </w:r>
      <w:r>
        <w:rPr>
          <w:rFonts w:hint="eastAsia" w:ascii="宋体" w:hAnsi="宋体" w:cs="宋体"/>
          <w:sz w:val="30"/>
          <w:szCs w:val="30"/>
          <w:lang w:val="en-US" w:eastAsia="zh-CN"/>
        </w:rPr>
        <w:t>20</w:t>
      </w:r>
      <w:r>
        <w:rPr>
          <w:rFonts w:hint="eastAsia" w:ascii="宋体" w:hAnsi="宋体" w:cs="宋体"/>
          <w:sz w:val="30"/>
          <w:szCs w:val="30"/>
        </w:rPr>
        <w:t>-00</w:t>
      </w:r>
      <w:r>
        <w:rPr>
          <w:rFonts w:hint="eastAsia" w:ascii="宋体" w:hAnsi="宋体" w:cs="宋体"/>
          <w:sz w:val="30"/>
          <w:szCs w:val="30"/>
          <w:lang w:val="en-US" w:eastAsia="zh-CN"/>
        </w:rPr>
        <w:t>2</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hint="eastAsia" w:ascii="宋体" w:hAnsi="宋体" w:cs="宋体"/>
          <w:b w:val="0"/>
          <w:bCs w:val="0"/>
          <w:color w:val="FF0000"/>
          <w:sz w:val="30"/>
          <w:szCs w:val="30"/>
          <w:highlight w:val="none"/>
          <w:lang w:eastAsia="zh-CN"/>
        </w:rPr>
      </w:pPr>
      <w:r>
        <w:rPr>
          <w:rFonts w:hint="eastAsia" w:ascii="宋体" w:hAnsi="宋体" w:cs="宋体"/>
          <w:b/>
          <w:bCs/>
          <w:sz w:val="30"/>
          <w:szCs w:val="30"/>
        </w:rPr>
        <w:t>（三）采购内容：</w:t>
      </w:r>
    </w:p>
    <w:tbl>
      <w:tblPr>
        <w:tblStyle w:val="18"/>
        <w:tblW w:w="97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3605"/>
        <w:gridCol w:w="24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522" w:firstLineChars="200"/>
              <w:jc w:val="both"/>
              <w:rPr>
                <w:sz w:val="30"/>
                <w:szCs w:val="30"/>
                <w:highlight w:val="none"/>
              </w:rPr>
            </w:pPr>
            <w:r>
              <w:rPr>
                <w:rFonts w:hint="eastAsia"/>
                <w:b/>
                <w:spacing w:val="-20"/>
                <w:sz w:val="30"/>
                <w:szCs w:val="30"/>
                <w:highlight w:val="none"/>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30"/>
                <w:szCs w:val="30"/>
                <w:highlight w:val="none"/>
              </w:rPr>
            </w:pPr>
            <w:r>
              <w:rPr>
                <w:rFonts w:hint="eastAsia"/>
                <w:b/>
                <w:spacing w:val="-20"/>
                <w:sz w:val="30"/>
                <w:szCs w:val="30"/>
                <w:highlight w:val="none"/>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30"/>
                <w:szCs w:val="30"/>
                <w:highlight w:val="none"/>
              </w:rPr>
            </w:pPr>
            <w:r>
              <w:rPr>
                <w:rFonts w:hint="eastAsia"/>
                <w:b/>
                <w:spacing w:val="-20"/>
                <w:sz w:val="30"/>
                <w:szCs w:val="30"/>
                <w:highlight w:val="none"/>
              </w:rPr>
              <w:t>单位</w:t>
            </w:r>
          </w:p>
        </w:tc>
        <w:tc>
          <w:tcPr>
            <w:tcW w:w="3605"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30"/>
                <w:szCs w:val="30"/>
                <w:highlight w:val="none"/>
              </w:rPr>
            </w:pPr>
            <w:r>
              <w:rPr>
                <w:rFonts w:hint="eastAsia"/>
                <w:b/>
                <w:spacing w:val="-20"/>
                <w:sz w:val="30"/>
                <w:szCs w:val="30"/>
                <w:highlight w:val="none"/>
              </w:rPr>
              <w:t>主要技术规格及要求</w:t>
            </w:r>
          </w:p>
        </w:tc>
        <w:tc>
          <w:tcPr>
            <w:tcW w:w="2424"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30"/>
                <w:szCs w:val="30"/>
                <w:highlight w:val="none"/>
              </w:rPr>
            </w:pPr>
            <w:r>
              <w:rPr>
                <w:rFonts w:hint="eastAsia"/>
                <w:b/>
                <w:spacing w:val="-20"/>
                <w:sz w:val="30"/>
                <w:szCs w:val="30"/>
                <w:highlight w:val="none"/>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30"/>
                <w:szCs w:val="30"/>
                <w:highlight w:val="none"/>
              </w:rPr>
            </w:pPr>
            <w:r>
              <w:rPr>
                <w:rFonts w:hint="eastAsia" w:ascii="宋体" w:hAnsi="宋体" w:eastAsia="宋体" w:cs="宋体"/>
                <w:b w:val="0"/>
                <w:bCs w:val="0"/>
                <w:sz w:val="30"/>
                <w:szCs w:val="30"/>
                <w:lang w:val="en-US" w:eastAsia="zh-CN"/>
              </w:rPr>
              <w:t>HIS</w:t>
            </w:r>
            <w:r>
              <w:rPr>
                <w:rFonts w:hint="eastAsia" w:ascii="宋体" w:hAnsi="宋体" w:eastAsia="宋体" w:cs="宋体"/>
                <w:b w:val="0"/>
                <w:bCs w:val="0"/>
                <w:sz w:val="30"/>
                <w:szCs w:val="30"/>
              </w:rPr>
              <w:t>服务器扩</w:t>
            </w:r>
            <w:r>
              <w:rPr>
                <w:rFonts w:hint="eastAsia" w:ascii="宋体" w:hAnsi="宋体" w:eastAsia="宋体" w:cs="宋体"/>
                <w:b w:val="0"/>
                <w:bCs w:val="0"/>
                <w:sz w:val="30"/>
                <w:szCs w:val="30"/>
                <w:highlight w:val="none"/>
              </w:rPr>
              <w:t>容采购项</w:t>
            </w:r>
            <w:r>
              <w:rPr>
                <w:rFonts w:hint="eastAsia" w:ascii="宋体" w:hAnsi="宋体" w:eastAsia="宋体" w:cs="宋体"/>
                <w:b w:val="0"/>
                <w:bCs w:val="0"/>
                <w:sz w:val="30"/>
                <w:szCs w:val="30"/>
              </w:rPr>
              <w:t>目</w:t>
            </w:r>
          </w:p>
        </w:tc>
        <w:tc>
          <w:tcPr>
            <w:tcW w:w="780"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rFonts w:hint="eastAsia" w:eastAsia="宋体"/>
                <w:sz w:val="30"/>
                <w:szCs w:val="30"/>
                <w:highlight w:val="none"/>
                <w:lang w:val="en-US" w:eastAsia="zh-CN"/>
              </w:rPr>
            </w:pPr>
            <w:r>
              <w:rPr>
                <w:rFonts w:hint="eastAsia"/>
                <w:sz w:val="30"/>
                <w:szCs w:val="30"/>
                <w:highlight w:val="none"/>
                <w:lang w:val="en-US" w:eastAsia="zh-CN"/>
              </w:rPr>
              <w:t>1</w:t>
            </w:r>
          </w:p>
        </w:tc>
        <w:tc>
          <w:tcPr>
            <w:tcW w:w="827"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rFonts w:hint="eastAsia" w:eastAsia="宋体"/>
                <w:sz w:val="30"/>
                <w:szCs w:val="30"/>
                <w:highlight w:val="none"/>
                <w:lang w:eastAsia="zh-CN"/>
              </w:rPr>
            </w:pPr>
            <w:r>
              <w:rPr>
                <w:rFonts w:hint="eastAsia"/>
                <w:sz w:val="30"/>
                <w:szCs w:val="30"/>
                <w:highlight w:val="none"/>
                <w:lang w:eastAsia="zh-CN"/>
              </w:rPr>
              <w:t>项</w:t>
            </w:r>
          </w:p>
        </w:tc>
        <w:tc>
          <w:tcPr>
            <w:tcW w:w="3605"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rFonts w:hint="eastAsia" w:eastAsia="宋体"/>
                <w:sz w:val="30"/>
                <w:szCs w:val="30"/>
                <w:highlight w:val="none"/>
                <w:lang w:eastAsia="zh-CN"/>
              </w:rPr>
            </w:pPr>
            <w:r>
              <w:rPr>
                <w:rFonts w:hint="eastAsia"/>
                <w:sz w:val="30"/>
                <w:szCs w:val="30"/>
                <w:highlight w:val="none"/>
                <w:lang w:eastAsia="zh-CN"/>
              </w:rPr>
              <w:t>详见项目需求</w:t>
            </w:r>
          </w:p>
        </w:tc>
        <w:tc>
          <w:tcPr>
            <w:tcW w:w="2424"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rFonts w:hint="default" w:eastAsia="宋体"/>
                <w:sz w:val="30"/>
                <w:szCs w:val="30"/>
                <w:highlight w:val="none"/>
                <w:lang w:val="en-US" w:eastAsia="zh-CN"/>
              </w:rPr>
            </w:pPr>
            <w:r>
              <w:rPr>
                <w:rFonts w:hint="eastAsia"/>
                <w:sz w:val="30"/>
                <w:szCs w:val="30"/>
                <w:highlight w:val="none"/>
                <w:lang w:val="en-US" w:eastAsia="zh-CN"/>
              </w:rPr>
              <w:t>270000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w:t>
      </w:r>
      <w:r>
        <w:rPr>
          <w:rFonts w:hint="eastAsia"/>
          <w:kern w:val="2"/>
          <w:sz w:val="30"/>
          <w:szCs w:val="30"/>
          <w:lang w:val="en-US" w:eastAsia="zh-CN"/>
        </w:rPr>
        <w:t>20</w:t>
      </w:r>
      <w:r>
        <w:rPr>
          <w:rFonts w:hint="eastAsia"/>
          <w:kern w:val="2"/>
          <w:sz w:val="30"/>
          <w:szCs w:val="30"/>
        </w:rPr>
        <w:t>年</w:t>
      </w:r>
      <w:r>
        <w:rPr>
          <w:rFonts w:hint="eastAsia"/>
          <w:kern w:val="2"/>
          <w:sz w:val="30"/>
          <w:szCs w:val="30"/>
          <w:lang w:val="en-US" w:eastAsia="zh-CN"/>
        </w:rPr>
        <w:t>1</w:t>
      </w:r>
      <w:r>
        <w:rPr>
          <w:rFonts w:hint="eastAsia"/>
          <w:kern w:val="2"/>
          <w:sz w:val="30"/>
          <w:szCs w:val="30"/>
        </w:rPr>
        <w:t>月</w:t>
      </w:r>
      <w:r>
        <w:rPr>
          <w:rFonts w:hint="eastAsia"/>
          <w:kern w:val="2"/>
          <w:sz w:val="30"/>
          <w:szCs w:val="30"/>
          <w:lang w:val="en-US" w:eastAsia="zh-CN"/>
        </w:rPr>
        <w:t>14</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2019年</w:t>
      </w:r>
      <w:r>
        <w:rPr>
          <w:rFonts w:hint="eastAsia"/>
          <w:kern w:val="2"/>
          <w:sz w:val="30"/>
          <w:szCs w:val="30"/>
          <w:lang w:val="en-US" w:eastAsia="zh-CN"/>
        </w:rPr>
        <w:t>1</w:t>
      </w:r>
      <w:r>
        <w:rPr>
          <w:rFonts w:hint="eastAsia"/>
          <w:kern w:val="2"/>
          <w:sz w:val="30"/>
          <w:szCs w:val="30"/>
        </w:rPr>
        <w:t>月</w:t>
      </w:r>
      <w:r>
        <w:rPr>
          <w:rFonts w:hint="eastAsia"/>
          <w:kern w:val="2"/>
          <w:sz w:val="30"/>
          <w:szCs w:val="30"/>
          <w:lang w:val="en-US" w:eastAsia="zh-CN"/>
        </w:rPr>
        <w:t>15</w:t>
      </w:r>
      <w:r>
        <w:rPr>
          <w:rFonts w:hint="eastAsia"/>
          <w:kern w:val="2"/>
          <w:sz w:val="30"/>
          <w:szCs w:val="30"/>
        </w:rPr>
        <w:t>日至2019年</w:t>
      </w:r>
      <w:r>
        <w:rPr>
          <w:rFonts w:hint="eastAsia"/>
          <w:kern w:val="2"/>
          <w:sz w:val="30"/>
          <w:szCs w:val="30"/>
          <w:lang w:val="en-US" w:eastAsia="zh-CN"/>
        </w:rPr>
        <w:t>1</w:t>
      </w:r>
      <w:r>
        <w:rPr>
          <w:rFonts w:hint="eastAsia"/>
          <w:kern w:val="2"/>
          <w:sz w:val="30"/>
          <w:szCs w:val="30"/>
        </w:rPr>
        <w:t>月</w:t>
      </w:r>
      <w:r>
        <w:rPr>
          <w:rFonts w:hint="eastAsia"/>
          <w:kern w:val="2"/>
          <w:sz w:val="30"/>
          <w:szCs w:val="30"/>
          <w:lang w:val="en-US" w:eastAsia="zh-CN"/>
        </w:rPr>
        <w:t>17</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2019年</w:t>
      </w:r>
      <w:r>
        <w:rPr>
          <w:rFonts w:hint="eastAsia"/>
          <w:kern w:val="2"/>
          <w:sz w:val="30"/>
          <w:szCs w:val="30"/>
          <w:lang w:val="en-US" w:eastAsia="zh-CN"/>
        </w:rPr>
        <w:t>1</w:t>
      </w:r>
      <w:r>
        <w:rPr>
          <w:rFonts w:hint="eastAsia"/>
          <w:kern w:val="2"/>
          <w:sz w:val="30"/>
          <w:szCs w:val="30"/>
        </w:rPr>
        <w:t>月</w:t>
      </w:r>
      <w:r>
        <w:rPr>
          <w:rFonts w:hint="eastAsia"/>
          <w:kern w:val="2"/>
          <w:sz w:val="30"/>
          <w:szCs w:val="30"/>
          <w:lang w:val="en-US" w:eastAsia="zh-CN"/>
        </w:rPr>
        <w:t>20</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lang w:eastAsia="zh-CN"/>
        </w:rPr>
        <w:t>伍</w:t>
      </w:r>
      <w:r>
        <w:rPr>
          <w:rFonts w:hint="eastAsia"/>
          <w:kern w:val="2"/>
          <w:sz w:val="30"/>
          <w:szCs w:val="30"/>
          <w:highlight w:val="yellow"/>
        </w:rPr>
        <w:t>仟肆佰元</w:t>
      </w:r>
      <w:r>
        <w:rPr>
          <w:rFonts w:hint="eastAsia"/>
          <w:kern w:val="2"/>
          <w:sz w:val="30"/>
          <w:szCs w:val="30"/>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w:t>
      </w:r>
      <w:r>
        <w:rPr>
          <w:rFonts w:hint="eastAsia"/>
          <w:kern w:val="2"/>
          <w:sz w:val="30"/>
          <w:szCs w:val="30"/>
          <w:highlight w:val="none"/>
        </w:rPr>
        <w:t>个工作日内按来款渠道直接无息退还。成交供应商的响应保证金转为履约保证金；履约保证金按成交金额的</w:t>
      </w:r>
      <w:r>
        <w:rPr>
          <w:rFonts w:hint="eastAsia"/>
          <w:kern w:val="2"/>
          <w:sz w:val="30"/>
          <w:szCs w:val="30"/>
          <w:highlight w:val="none"/>
          <w:lang w:val="en-US" w:eastAsia="zh-CN"/>
        </w:rPr>
        <w:t>5</w:t>
      </w:r>
      <w:r>
        <w:rPr>
          <w:rFonts w:hint="eastAsia"/>
          <w:kern w:val="2"/>
          <w:sz w:val="30"/>
          <w:szCs w:val="30"/>
          <w:highlight w:val="none"/>
        </w:rPr>
        <w:t>%缴纳，不足部分在合同签订前补齐，</w:t>
      </w:r>
      <w:r>
        <w:rPr>
          <w:rFonts w:hint="eastAsia"/>
          <w:sz w:val="30"/>
          <w:szCs w:val="30"/>
          <w:highlight w:val="none"/>
        </w:rPr>
        <w:t>履约保证金在</w:t>
      </w:r>
      <w:r>
        <w:rPr>
          <w:rFonts w:hint="eastAsia"/>
          <w:kern w:val="2"/>
          <w:sz w:val="30"/>
          <w:szCs w:val="30"/>
          <w:highlight w:val="none"/>
        </w:rPr>
        <w:t>货物</w:t>
      </w:r>
      <w:r>
        <w:rPr>
          <w:rFonts w:hint="eastAsia"/>
          <w:kern w:val="2"/>
          <w:sz w:val="30"/>
          <w:szCs w:val="30"/>
          <w:highlight w:val="none"/>
          <w:lang w:eastAsia="zh-CN"/>
        </w:rPr>
        <w:t>交付、</w:t>
      </w:r>
      <w:r>
        <w:rPr>
          <w:rFonts w:hint="eastAsia"/>
          <w:kern w:val="2"/>
          <w:sz w:val="30"/>
          <w:szCs w:val="30"/>
          <w:highlight w:val="none"/>
        </w:rPr>
        <w:t>验收合格后</w:t>
      </w:r>
      <w:r>
        <w:rPr>
          <w:rFonts w:hint="eastAsia"/>
          <w:sz w:val="30"/>
          <w:szCs w:val="30"/>
          <w:highlight w:val="none"/>
        </w:rPr>
        <w:t>自动转为质保金，</w:t>
      </w:r>
      <w:r>
        <w:rPr>
          <w:rFonts w:hint="eastAsia"/>
          <w:kern w:val="2"/>
          <w:sz w:val="30"/>
          <w:szCs w:val="30"/>
          <w:highlight w:val="none"/>
        </w:rPr>
        <w:t>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highlight w:val="yellow"/>
        </w:rPr>
        <w:t>货物经验收合格后一个月内一次性付清，不计利息。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5、交货期：卖方应在《中标通知书》规定的时间内和买方签订正式合同，并在合同签订之日起</w:t>
      </w:r>
      <w:r>
        <w:rPr>
          <w:rFonts w:hint="eastAsia"/>
          <w:b/>
          <w:bCs/>
          <w:kern w:val="2"/>
          <w:sz w:val="30"/>
          <w:szCs w:val="30"/>
          <w:highlight w:val="yellow"/>
        </w:rPr>
        <w:t>5</w:t>
      </w:r>
      <w:r>
        <w:rPr>
          <w:rFonts w:hint="eastAsia"/>
          <w:kern w:val="2"/>
          <w:sz w:val="30"/>
          <w:szCs w:val="30"/>
          <w:highlight w:val="yellow"/>
        </w:rPr>
        <w:t>天</w:t>
      </w:r>
      <w:r>
        <w:rPr>
          <w:rFonts w:hint="eastAsia"/>
          <w:kern w:val="2"/>
          <w:sz w:val="30"/>
          <w:szCs w:val="30"/>
        </w:rPr>
        <w:t xml:space="preserve">内完成所有产品的供货，包含安装调试，并交付使用。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w:t>
      </w:r>
      <w:r>
        <w:rPr>
          <w:rFonts w:hint="eastAsia"/>
          <w:kern w:val="2"/>
          <w:sz w:val="30"/>
          <w:szCs w:val="30"/>
          <w:highlight w:val="yellow"/>
        </w:rPr>
        <w:t>采购人指定地点。</w:t>
      </w:r>
    </w:p>
    <w:bookmarkEnd w:id="8"/>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highlight w:val="yellow"/>
        </w:rPr>
        <w:t>7、产品参数要求:</w:t>
      </w:r>
    </w:p>
    <w:p>
      <w:pPr>
        <w:pStyle w:val="16"/>
        <w:spacing w:before="0" w:beforeAutospacing="0" w:after="0" w:afterAutospacing="0" w:line="460" w:lineRule="exact"/>
        <w:ind w:firstLine="602" w:firstLineChars="200"/>
        <w:jc w:val="both"/>
        <w:rPr>
          <w:b/>
          <w:bCs/>
          <w:kern w:val="2"/>
          <w:sz w:val="30"/>
          <w:szCs w:val="30"/>
          <w:highlight w:val="yellow"/>
        </w:rPr>
      </w:pPr>
    </w:p>
    <w:tbl>
      <w:tblPr>
        <w:tblStyle w:val="18"/>
        <w:tblW w:w="97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5146"/>
        <w:gridCol w:w="8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ind w:firstLine="462" w:firstLineChars="200"/>
              <w:jc w:val="both"/>
              <w:rPr>
                <w:color w:val="auto"/>
              </w:rPr>
            </w:pPr>
            <w:r>
              <w:rPr>
                <w:rFonts w:hint="eastAsia"/>
                <w:b/>
                <w:color w:val="auto"/>
                <w:spacing w:val="-20"/>
                <w:sz w:val="27"/>
                <w:szCs w:val="27"/>
              </w:rPr>
              <w:t>项目名称</w:t>
            </w:r>
          </w:p>
        </w:tc>
        <w:tc>
          <w:tcPr>
            <w:tcW w:w="780" w:type="dxa"/>
            <w:tcBorders>
              <w:top w:val="single" w:color="auto" w:sz="8" w:space="0"/>
              <w:left w:val="nil"/>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jc w:val="both"/>
              <w:rPr>
                <w:color w:val="auto"/>
              </w:rPr>
            </w:pPr>
            <w:r>
              <w:rPr>
                <w:rFonts w:hint="eastAsia"/>
                <w:b/>
                <w:color w:val="auto"/>
                <w:spacing w:val="-20"/>
                <w:sz w:val="27"/>
                <w:szCs w:val="27"/>
              </w:rPr>
              <w:t>数量</w:t>
            </w:r>
          </w:p>
        </w:tc>
        <w:tc>
          <w:tcPr>
            <w:tcW w:w="827" w:type="dxa"/>
            <w:tcBorders>
              <w:top w:val="single" w:color="auto" w:sz="8" w:space="0"/>
              <w:left w:val="nil"/>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jc w:val="both"/>
              <w:rPr>
                <w:color w:val="auto"/>
              </w:rPr>
            </w:pPr>
            <w:r>
              <w:rPr>
                <w:rFonts w:hint="eastAsia"/>
                <w:b/>
                <w:color w:val="auto"/>
                <w:spacing w:val="-20"/>
                <w:sz w:val="27"/>
                <w:szCs w:val="27"/>
              </w:rPr>
              <w:t>单位</w:t>
            </w:r>
          </w:p>
        </w:tc>
        <w:tc>
          <w:tcPr>
            <w:tcW w:w="5146" w:type="dxa"/>
            <w:tcBorders>
              <w:top w:val="single" w:color="auto" w:sz="8" w:space="0"/>
              <w:left w:val="nil"/>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ind w:firstLine="462" w:firstLineChars="200"/>
              <w:jc w:val="center"/>
              <w:rPr>
                <w:color w:val="auto"/>
              </w:rPr>
            </w:pPr>
            <w:r>
              <w:rPr>
                <w:rFonts w:hint="eastAsia"/>
                <w:b/>
                <w:color w:val="auto"/>
                <w:spacing w:val="-20"/>
                <w:sz w:val="27"/>
                <w:szCs w:val="27"/>
              </w:rPr>
              <w:t>主要技术规格及要求</w:t>
            </w:r>
          </w:p>
        </w:tc>
        <w:tc>
          <w:tcPr>
            <w:tcW w:w="883" w:type="dxa"/>
            <w:tcBorders>
              <w:top w:val="single" w:color="auto" w:sz="8" w:space="0"/>
              <w:left w:val="nil"/>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jc w:val="both"/>
              <w:rPr>
                <w:color w:val="auto"/>
              </w:rPr>
            </w:pPr>
            <w:r>
              <w:rPr>
                <w:rFonts w:hint="eastAsia"/>
                <w:b/>
                <w:color w:val="auto"/>
                <w:spacing w:val="-20"/>
                <w:sz w:val="27"/>
                <w:szCs w:val="27"/>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r>
              <w:rPr>
                <w:rFonts w:hint="eastAsia"/>
                <w:color w:val="auto"/>
              </w:rPr>
              <w:t>处理器</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4</w:t>
            </w:r>
          </w:p>
        </w:tc>
        <w:tc>
          <w:tcPr>
            <w:tcW w:w="8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个</w:t>
            </w:r>
          </w:p>
        </w:tc>
        <w:tc>
          <w:tcPr>
            <w:tcW w:w="514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left"/>
              <w:rPr>
                <w:color w:val="auto"/>
              </w:rPr>
            </w:pPr>
            <w:r>
              <w:rPr>
                <w:rFonts w:hint="eastAsia"/>
                <w:color w:val="auto"/>
              </w:rPr>
              <w:t>HPE BL8x0c i4 Itanium 95xx 8c Proc kit</w:t>
            </w:r>
          </w:p>
          <w:p>
            <w:pPr>
              <w:pStyle w:val="16"/>
              <w:spacing w:before="0" w:beforeAutospacing="0" w:after="0" w:afterAutospacing="0" w:line="460" w:lineRule="exact"/>
              <w:jc w:val="left"/>
              <w:rPr>
                <w:color w:val="auto"/>
              </w:rPr>
            </w:pPr>
            <w:r>
              <w:rPr>
                <w:rFonts w:hint="eastAsia"/>
                <w:color w:val="auto"/>
              </w:rPr>
              <w:t>要求主频高于2GHz,核数大于等于8,支持HPUX V3操作系统且带配置核数激活许可,含散热器，固定套件等</w:t>
            </w:r>
          </w:p>
        </w:tc>
        <w:tc>
          <w:tcPr>
            <w:tcW w:w="8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r>
              <w:rPr>
                <w:rFonts w:hint="eastAsia"/>
                <w:color w:val="auto"/>
              </w:rPr>
              <w:t>内存</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16</w:t>
            </w:r>
          </w:p>
        </w:tc>
        <w:tc>
          <w:tcPr>
            <w:tcW w:w="8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根</w:t>
            </w:r>
          </w:p>
        </w:tc>
        <w:tc>
          <w:tcPr>
            <w:tcW w:w="514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left"/>
              <w:rPr>
                <w:color w:val="auto"/>
              </w:rPr>
            </w:pPr>
            <w:r>
              <w:rPr>
                <w:rFonts w:hint="eastAsia"/>
                <w:color w:val="auto"/>
              </w:rPr>
              <w:t xml:space="preserve">16GB PC3L 12800R DIMM </w:t>
            </w:r>
          </w:p>
          <w:p>
            <w:pPr>
              <w:pStyle w:val="16"/>
              <w:spacing w:before="0" w:beforeAutospacing="0" w:after="0" w:afterAutospacing="0" w:line="460" w:lineRule="exact"/>
              <w:jc w:val="left"/>
              <w:rPr>
                <w:color w:val="auto"/>
              </w:rPr>
            </w:pPr>
            <w:r>
              <w:rPr>
                <w:rFonts w:hint="eastAsia"/>
                <w:color w:val="auto"/>
              </w:rPr>
              <w:t>要求支持HPE L8x0c i4小型机专用ECC内存，支持HPUX V3操作系统</w:t>
            </w:r>
          </w:p>
        </w:tc>
        <w:tc>
          <w:tcPr>
            <w:tcW w:w="8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r>
              <w:rPr>
                <w:rFonts w:hint="eastAsia"/>
                <w:color w:val="auto"/>
              </w:rPr>
              <w:t>连接板</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2</w:t>
            </w:r>
          </w:p>
        </w:tc>
        <w:tc>
          <w:tcPr>
            <w:tcW w:w="8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块</w:t>
            </w:r>
          </w:p>
        </w:tc>
        <w:tc>
          <w:tcPr>
            <w:tcW w:w="514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left"/>
              <w:rPr>
                <w:color w:val="auto"/>
              </w:rPr>
            </w:pPr>
            <w:r>
              <w:rPr>
                <w:rFonts w:hint="eastAsia"/>
                <w:color w:val="auto"/>
              </w:rPr>
              <w:t>BL2 BL870c i4 odd Slot C3000/C7000</w:t>
            </w:r>
          </w:p>
          <w:p>
            <w:pPr>
              <w:pStyle w:val="16"/>
              <w:spacing w:before="0" w:beforeAutospacing="0" w:after="0" w:afterAutospacing="0" w:line="460" w:lineRule="exact"/>
              <w:jc w:val="left"/>
              <w:rPr>
                <w:color w:val="auto"/>
              </w:rPr>
            </w:pPr>
            <w:r>
              <w:rPr>
                <w:rFonts w:hint="eastAsia"/>
                <w:color w:val="auto"/>
              </w:rPr>
              <w:t>要求支持HPE L8x0c i4小型机和HPE L8x0c i6小型机，支持HPUX V3操作系统</w:t>
            </w:r>
          </w:p>
        </w:tc>
        <w:tc>
          <w:tcPr>
            <w:tcW w:w="8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r>
              <w:rPr>
                <w:rFonts w:hint="eastAsia"/>
                <w:color w:val="auto"/>
              </w:rPr>
              <w:t>刀片</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2</w:t>
            </w:r>
          </w:p>
        </w:tc>
        <w:tc>
          <w:tcPr>
            <w:tcW w:w="8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个</w:t>
            </w:r>
          </w:p>
        </w:tc>
        <w:tc>
          <w:tcPr>
            <w:tcW w:w="514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left"/>
              <w:rPr>
                <w:color w:val="auto"/>
              </w:rPr>
            </w:pPr>
            <w:r>
              <w:rPr>
                <w:rFonts w:hint="eastAsia"/>
                <w:color w:val="auto"/>
              </w:rPr>
              <w:t>BL8x0c i4 Blade Base Unit (Mod 0) HPE L8x0c i4小型机扩展模块，含总统平台系统，支持HPUX V3操作系统</w:t>
            </w:r>
          </w:p>
        </w:tc>
        <w:tc>
          <w:tcPr>
            <w:tcW w:w="8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r>
              <w:rPr>
                <w:rFonts w:hint="eastAsia"/>
                <w:color w:val="auto"/>
              </w:rPr>
              <w:t>硬盘</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16</w:t>
            </w:r>
          </w:p>
        </w:tc>
        <w:tc>
          <w:tcPr>
            <w:tcW w:w="8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个</w:t>
            </w:r>
          </w:p>
        </w:tc>
        <w:tc>
          <w:tcPr>
            <w:tcW w:w="514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left"/>
              <w:rPr>
                <w:color w:val="auto"/>
              </w:rPr>
            </w:pPr>
            <w:r>
              <w:rPr>
                <w:rFonts w:hint="eastAsia"/>
                <w:color w:val="auto"/>
              </w:rPr>
              <w:t>HPE SS8400 4TB SAS</w:t>
            </w:r>
            <w:r>
              <w:rPr>
                <w:color w:val="auto"/>
              </w:rPr>
              <w:t>.3.5</w:t>
            </w:r>
            <w:r>
              <w:rPr>
                <w:rFonts w:hint="eastAsia"/>
                <w:color w:val="auto"/>
              </w:rPr>
              <w:t>寸磁盘，带系统激活许可</w:t>
            </w:r>
          </w:p>
        </w:tc>
        <w:tc>
          <w:tcPr>
            <w:tcW w:w="8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r>
              <w:rPr>
                <w:rFonts w:hint="eastAsia"/>
                <w:color w:val="auto"/>
              </w:rPr>
              <w:t>技术实施</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color w:val="auto"/>
              </w:rPr>
            </w:pPr>
            <w:r>
              <w:rPr>
                <w:rFonts w:hint="eastAsia"/>
                <w:color w:val="auto"/>
              </w:rPr>
              <w:t>1</w:t>
            </w:r>
          </w:p>
        </w:tc>
        <w:tc>
          <w:tcPr>
            <w:tcW w:w="8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center"/>
              <w:rPr>
                <w:color w:val="auto"/>
              </w:rPr>
            </w:pPr>
          </w:p>
        </w:tc>
        <w:tc>
          <w:tcPr>
            <w:tcW w:w="514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numPr>
                <w:ilvl w:val="0"/>
                <w:numId w:val="1"/>
              </w:numPr>
              <w:spacing w:before="0" w:beforeAutospacing="0" w:after="0" w:afterAutospacing="0" w:line="460" w:lineRule="exact"/>
              <w:jc w:val="left"/>
              <w:rPr>
                <w:color w:val="auto"/>
              </w:rPr>
            </w:pPr>
            <w:r>
              <w:rPr>
                <w:rFonts w:hint="eastAsia"/>
                <w:color w:val="auto"/>
              </w:rPr>
              <w:t>实施工程师必须精通HP小型机及存储，具有HPUX L100级别及以上证书</w:t>
            </w:r>
          </w:p>
          <w:p>
            <w:pPr>
              <w:pStyle w:val="16"/>
              <w:numPr>
                <w:ilvl w:val="0"/>
                <w:numId w:val="1"/>
              </w:numPr>
              <w:spacing w:before="0" w:beforeAutospacing="0" w:after="0" w:afterAutospacing="0" w:line="460" w:lineRule="exact"/>
              <w:jc w:val="left"/>
              <w:rPr>
                <w:rFonts w:hint="eastAsia"/>
                <w:color w:val="auto"/>
              </w:rPr>
            </w:pPr>
            <w:r>
              <w:rPr>
                <w:rFonts w:hint="eastAsia"/>
                <w:color w:val="auto"/>
              </w:rPr>
              <w:t>由于是在业在线系统，扩容必须在三小时内完成。</w:t>
            </w:r>
          </w:p>
        </w:tc>
        <w:tc>
          <w:tcPr>
            <w:tcW w:w="8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ind w:firstLine="480" w:firstLineChars="200"/>
              <w:jc w:val="left"/>
              <w:rPr>
                <w:color w:val="auto"/>
              </w:rPr>
            </w:pPr>
          </w:p>
        </w:tc>
      </w:tr>
    </w:tbl>
    <w:p>
      <w:pPr>
        <w:pStyle w:val="16"/>
        <w:spacing w:before="0" w:beforeAutospacing="0" w:after="0" w:afterAutospacing="0" w:line="460" w:lineRule="exact"/>
        <w:ind w:firstLine="600" w:firstLineChars="200"/>
        <w:jc w:val="left"/>
        <w:rPr>
          <w:kern w:val="2"/>
          <w:sz w:val="30"/>
          <w:szCs w:val="30"/>
          <w:highlight w:val="yellow"/>
        </w:rPr>
      </w:pPr>
    </w:p>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highlight w:val="yellow"/>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b/>
          <w:bCs/>
          <w:kern w:val="2"/>
          <w:sz w:val="30"/>
          <w:szCs w:val="30"/>
        </w:rPr>
        <w:t>12</w:t>
      </w:r>
      <w:r>
        <w:rPr>
          <w:rFonts w:hint="eastAsia"/>
          <w:kern w:val="2"/>
          <w:sz w:val="30"/>
          <w:szCs w:val="30"/>
        </w:rPr>
        <w:t>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6</w:t>
      </w:r>
      <w:r>
        <w:rPr>
          <w:rFonts w:hint="eastAsia"/>
          <w:kern w:val="2"/>
          <w:sz w:val="30"/>
          <w:szCs w:val="30"/>
        </w:rPr>
        <w:t>小时内指派专业技术人员到达采购人指定地点提供维修服务。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widowControl/>
        <w:spacing w:line="460" w:lineRule="atLeast"/>
        <w:ind w:firstLine="600" w:firstLineChars="200"/>
        <w:jc w:val="left"/>
        <w:rPr>
          <w:rFonts w:ascii="宋体" w:hAnsi="宋体" w:cs="宋体"/>
          <w:sz w:val="30"/>
          <w:szCs w:val="30"/>
          <w:highlight w:val="none"/>
        </w:rPr>
      </w:pPr>
      <w:r>
        <w:rPr>
          <w:rFonts w:hint="eastAsia" w:ascii="宋体" w:hAnsi="宋体" w:cs="宋体"/>
          <w:sz w:val="30"/>
          <w:szCs w:val="30"/>
        </w:rPr>
        <w:t>9.1</w:t>
      </w:r>
      <w:r>
        <w:rPr>
          <w:rFonts w:hint="eastAsia" w:ascii="宋体" w:hAnsi="宋体" w:cs="宋体"/>
          <w:sz w:val="30"/>
          <w:szCs w:val="30"/>
          <w:highlight w:val="none"/>
        </w:rPr>
        <w:t>违约责任：如果乙方没有按照合同规定的时间交货和提供服务，甲方可从货款中扣除违约赔偿费，赔偿费应按每迟交一天，按合同总价的2‰计收。但违约赔偿费的最高限额为合同总价的10%。</w:t>
      </w:r>
      <w:r>
        <w:rPr>
          <w:rFonts w:hint="eastAsia" w:ascii="宋体" w:hAnsi="宋体" w:cs="宋体"/>
          <w:color w:val="auto"/>
          <w:sz w:val="30"/>
          <w:szCs w:val="30"/>
          <w:highlight w:val="none"/>
        </w:rPr>
        <w:t>不</w:t>
      </w:r>
      <w:r>
        <w:rPr>
          <w:rFonts w:hint="eastAsia" w:ascii="宋体" w:hAnsi="宋体" w:cs="宋体"/>
          <w:color w:val="auto"/>
          <w:sz w:val="30"/>
          <w:szCs w:val="30"/>
          <w:highlight w:val="none"/>
        </w:rPr>
        <w:t>足1天</w:t>
      </w:r>
      <w:r>
        <w:rPr>
          <w:rFonts w:hint="eastAsia" w:ascii="宋体" w:hAnsi="宋体" w:cs="宋体"/>
          <w:color w:val="auto"/>
          <w:sz w:val="30"/>
          <w:szCs w:val="30"/>
          <w:highlight w:val="none"/>
          <w:lang w:eastAsia="zh-CN"/>
        </w:rPr>
        <w:t>超过</w:t>
      </w:r>
      <w:r>
        <w:rPr>
          <w:rFonts w:hint="eastAsia" w:ascii="宋体" w:hAnsi="宋体" w:cs="宋体"/>
          <w:color w:val="auto"/>
          <w:sz w:val="30"/>
          <w:szCs w:val="30"/>
          <w:highlight w:val="none"/>
          <w:lang w:val="en-US" w:eastAsia="zh-CN"/>
        </w:rPr>
        <w:t>12个小时</w:t>
      </w:r>
      <w:r>
        <w:rPr>
          <w:rFonts w:hint="eastAsia" w:ascii="宋体" w:hAnsi="宋体" w:cs="宋体"/>
          <w:color w:val="auto"/>
          <w:sz w:val="30"/>
          <w:szCs w:val="30"/>
          <w:highlight w:val="none"/>
        </w:rPr>
        <w:t>按一天计算。如果乙方在达到最高限额后仍不能交货，甲方可考虑终止合同</w:t>
      </w:r>
      <w:r>
        <w:rPr>
          <w:rFonts w:hint="eastAsia" w:ascii="宋体" w:hAnsi="宋体" w:cs="宋体"/>
          <w:sz w:val="30"/>
          <w:szCs w:val="30"/>
          <w:highlight w:val="none"/>
        </w:rPr>
        <w:t>。</w:t>
      </w:r>
    </w:p>
    <w:p>
      <w:pPr>
        <w:widowControl/>
        <w:spacing w:line="460" w:lineRule="atLeast"/>
        <w:ind w:firstLine="600" w:firstLineChars="200"/>
        <w:jc w:val="left"/>
        <w:rPr>
          <w:strike/>
          <w:dstrike w:val="0"/>
          <w:sz w:val="30"/>
          <w:szCs w:val="30"/>
          <w:highlight w:val="yellow"/>
        </w:rPr>
      </w:pPr>
      <w:r>
        <w:rPr>
          <w:rFonts w:hint="eastAsia"/>
          <w:sz w:val="30"/>
          <w:szCs w:val="30"/>
        </w:rPr>
        <w:t>9.2如果设备发生故障，投标供应商须在响应文件中承诺的时间内到达采购人处提供维修服务，“实际达到时间”每超过“承诺应到时间”24小时，扣除履约保证金5%，以此类推。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lang w:val="en-US" w:eastAsia="zh-CN"/>
        </w:rPr>
        <w:t>270000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376848255"/>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225565935"/>
      <w:bookmarkStart w:id="19" w:name="_Toc533775678"/>
      <w:bookmarkStart w:id="20" w:name="_Toc387418052"/>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2711" w:firstLineChars="900"/>
        <w:rPr>
          <w:rFonts w:ascii="FangSong_GB2312" w:hAnsi="FangSong_GB2312" w:eastAsia="FangSong_GB2312" w:cs="FangSong_GB2312"/>
          <w:b/>
          <w:color w:val="000000" w:themeColor="text1"/>
          <w:kern w:val="0"/>
          <w:sz w:val="30"/>
          <w:szCs w:val="30"/>
        </w:rPr>
      </w:pPr>
      <w:r>
        <w:rPr>
          <w:rFonts w:hint="eastAsia" w:ascii="FangSong_GB2312" w:hAnsi="FangSong_GB2312" w:eastAsia="FangSong_GB2312" w:cs="FangSong_GB2312"/>
          <w:b/>
          <w:color w:val="000000" w:themeColor="text1"/>
          <w:kern w:val="0"/>
          <w:sz w:val="30"/>
          <w:szCs w:val="30"/>
        </w:rPr>
        <w:t>赣州市人民医院****项目采购合同</w:t>
      </w:r>
    </w:p>
    <w:p>
      <w:pPr>
        <w:widowControl/>
        <w:ind w:firstLine="1405" w:firstLineChars="500"/>
        <w:rPr>
          <w:rFonts w:ascii="FangSong_GB2312" w:hAnsi="FangSong_GB2312" w:eastAsia="FangSong_GB2312" w:cs="FangSong_GB2312"/>
          <w:color w:val="000000" w:themeColor="text1"/>
          <w:sz w:val="28"/>
          <w:szCs w:val="28"/>
        </w:rPr>
      </w:pPr>
      <w:r>
        <w:rPr>
          <w:rFonts w:hint="eastAsia" w:ascii="FangSong_GB2312" w:hAnsi="FangSong_GB2312" w:eastAsia="FangSong_GB2312" w:cs="FangSong_GB2312"/>
          <w:b/>
          <w:color w:val="000000" w:themeColor="text1"/>
          <w:sz w:val="28"/>
          <w:szCs w:val="28"/>
        </w:rPr>
        <w:t xml:space="preserve">    </w:t>
      </w:r>
    </w:p>
    <w:p>
      <w:pPr>
        <w:widowControl/>
        <w:jc w:val="left"/>
        <w:rPr>
          <w:rFonts w:hint="eastAsia"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hint="eastAsia" w:ascii="仿宋" w:hAnsi="仿宋" w:eastAsia="仿宋" w:cs="仿宋"/>
          <w:sz w:val="28"/>
          <w:szCs w:val="28"/>
          <w:highlight w:val="yellow"/>
        </w:rPr>
      </w:pPr>
      <w:r>
        <w:rPr>
          <w:rFonts w:hint="eastAsia" w:ascii="仿宋" w:hAnsi="仿宋" w:eastAsia="仿宋" w:cs="仿宋"/>
          <w:sz w:val="28"/>
          <w:szCs w:val="28"/>
        </w:rPr>
        <w:t>乙方：*****有限公司</w:t>
      </w:r>
    </w:p>
    <w:p>
      <w:pPr>
        <w:ind w:firstLine="140" w:firstLineChars="50"/>
        <w:rPr>
          <w:rFonts w:hint="eastAsia" w:ascii="仿宋" w:hAnsi="仿宋" w:eastAsia="仿宋" w:cs="仿宋"/>
          <w:color w:val="000000" w:themeColor="text1"/>
          <w:sz w:val="28"/>
          <w:szCs w:val="28"/>
        </w:rPr>
      </w:pPr>
      <w:r>
        <w:rPr>
          <w:rFonts w:hint="eastAsia" w:ascii="仿宋" w:hAnsi="仿宋" w:eastAsia="仿宋" w:cs="仿宋"/>
          <w:sz w:val="28"/>
          <w:szCs w:val="28"/>
        </w:rPr>
        <w:t xml:space="preserve">     </w:t>
      </w:r>
      <w:r>
        <w:rPr>
          <w:rFonts w:hint="eastAsia" w:ascii="仿宋" w:hAnsi="仿宋" w:eastAsia="仿宋" w:cs="仿宋"/>
          <w:color w:val="000000" w:themeColor="text1"/>
          <w:sz w:val="28"/>
          <w:szCs w:val="28"/>
        </w:rPr>
        <w:t>甲、乙双方根据</w:t>
      </w:r>
      <w:r>
        <w:rPr>
          <w:rFonts w:hint="eastAsia" w:ascii="仿宋" w:hAnsi="仿宋" w:eastAsia="仿宋" w:cs="仿宋"/>
          <w:color w:val="000000" w:themeColor="text1"/>
          <w:sz w:val="28"/>
          <w:szCs w:val="28"/>
          <w:highlight w:val="yellow"/>
          <w:u w:val="single"/>
        </w:rPr>
        <w:t>赣州市人民医院组织</w:t>
      </w:r>
      <w:r>
        <w:rPr>
          <w:rFonts w:hint="eastAsia" w:ascii="仿宋" w:hAnsi="仿宋" w:eastAsia="仿宋" w:cs="仿宋"/>
          <w:color w:val="000000" w:themeColor="text1"/>
          <w:sz w:val="28"/>
          <w:szCs w:val="28"/>
        </w:rPr>
        <w:t>（项目编号：********）</w:t>
      </w:r>
      <w:r>
        <w:rPr>
          <w:rFonts w:hint="eastAsia" w:ascii="仿宋" w:hAnsi="仿宋" w:eastAsia="仿宋" w:cs="仿宋"/>
          <w:color w:val="000000" w:themeColor="text1"/>
          <w:sz w:val="28"/>
          <w:szCs w:val="28"/>
          <w:highlight w:val="yellow"/>
          <w:u w:val="single"/>
        </w:rPr>
        <w:t>竞争性谈判</w:t>
      </w:r>
      <w:r>
        <w:rPr>
          <w:rFonts w:hint="eastAsia" w:ascii="仿宋" w:hAnsi="仿宋" w:eastAsia="仿宋" w:cs="仿宋"/>
          <w:color w:val="000000" w:themeColor="text1"/>
          <w:sz w:val="28"/>
          <w:szCs w:val="28"/>
        </w:rPr>
        <w:t>的成交结果和</w:t>
      </w:r>
      <w:r>
        <w:rPr>
          <w:rFonts w:hint="eastAsia" w:ascii="仿宋" w:hAnsi="仿宋" w:eastAsia="仿宋" w:cs="仿宋"/>
          <w:sz w:val="28"/>
          <w:szCs w:val="28"/>
        </w:rPr>
        <w:t>招标（谈判）</w:t>
      </w:r>
      <w:r>
        <w:rPr>
          <w:rFonts w:hint="eastAsia" w:ascii="仿宋" w:hAnsi="仿宋" w:eastAsia="仿宋" w:cs="仿宋"/>
          <w:color w:val="000000" w:themeColor="text1"/>
          <w:sz w:val="28"/>
          <w:szCs w:val="28"/>
        </w:rPr>
        <w:t>文件的要求，并经双方协商一致，同意按下述条件签订本合同。</w:t>
      </w:r>
    </w:p>
    <w:p>
      <w:pPr>
        <w:widowControl/>
        <w:ind w:firstLine="560"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一、合同文件的组成：</w:t>
      </w:r>
    </w:p>
    <w:p>
      <w:pPr>
        <w:widowControl/>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ind w:firstLine="560"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ind w:firstLine="560"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jc w:val="left"/>
        <w:rPr>
          <w:rFonts w:hint="eastAsia" w:ascii="仿宋" w:hAnsi="仿宋" w:eastAsia="仿宋" w:cs="仿宋"/>
          <w:sz w:val="28"/>
          <w:szCs w:val="28"/>
        </w:rPr>
      </w:pPr>
      <w:r>
        <w:rPr>
          <w:rFonts w:hint="eastAsia" w:ascii="仿宋" w:hAnsi="仿宋" w:eastAsia="仿宋" w:cs="仿宋"/>
          <w:color w:val="000000" w:themeColor="text1"/>
          <w:sz w:val="28"/>
          <w:szCs w:val="28"/>
        </w:rPr>
        <w:t xml:space="preserve">  </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rPr>
        <w:t>3、</w:t>
      </w:r>
      <w:r>
        <w:rPr>
          <w:rFonts w:hint="eastAsia" w:ascii="仿宋" w:hAnsi="仿宋" w:eastAsia="仿宋" w:cs="仿宋"/>
          <w:sz w:val="28"/>
          <w:szCs w:val="28"/>
        </w:rPr>
        <w:t>招标（竞谈）文件（含采购过程补充通知、答疑回复、变更等）；</w:t>
      </w:r>
    </w:p>
    <w:p>
      <w:pPr>
        <w:widowControl/>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4、响应文件。</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widowControl/>
        <w:ind w:firstLine="560"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二、合同范围和条件：</w:t>
      </w:r>
    </w:p>
    <w:p>
      <w:pPr>
        <w:ind w:firstLine="560" w:firstLineChars="200"/>
        <w:rPr>
          <w:rFonts w:hint="eastAsia" w:ascii="仿宋" w:hAnsi="仿宋" w:eastAsia="仿宋" w:cs="仿宋"/>
          <w:color w:val="000000" w:themeColor="text1"/>
          <w:kern w:val="0"/>
          <w:sz w:val="28"/>
          <w:szCs w:val="28"/>
        </w:rPr>
      </w:pPr>
      <w:r>
        <w:rPr>
          <w:rFonts w:hint="eastAsia" w:ascii="仿宋" w:hAnsi="仿宋" w:eastAsia="仿宋" w:cs="仿宋"/>
          <w:color w:val="000000" w:themeColor="text1"/>
          <w:sz w:val="28"/>
          <w:szCs w:val="28"/>
        </w:rPr>
        <w:t>本合同的范围和条件应与上述合同文件的规定一致。</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三、品牌型号、规格、数量及总价：</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四、合同金额：合同总价人民币**元整（00.00元）。</w:t>
      </w:r>
    </w:p>
    <w:p>
      <w:pPr>
        <w:widowControl/>
        <w:ind w:firstLine="560" w:firstLineChars="200"/>
        <w:rPr>
          <w:rFonts w:hint="eastAsia" w:ascii="仿宋" w:hAnsi="仿宋" w:eastAsia="仿宋" w:cs="仿宋"/>
          <w:kern w:val="2"/>
          <w:sz w:val="28"/>
          <w:szCs w:val="28"/>
          <w:highlight w:val="none"/>
        </w:rPr>
      </w:pPr>
      <w:r>
        <w:rPr>
          <w:rFonts w:hint="eastAsia" w:ascii="仿宋" w:hAnsi="仿宋" w:eastAsia="仿宋" w:cs="仿宋"/>
          <w:sz w:val="28"/>
          <w:szCs w:val="28"/>
        </w:rPr>
        <w:t>五、履约保证金：收到中标通知书后，在合同签订前，乙方按照合同金额的</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
          <w:bCs/>
          <w:sz w:val="28"/>
          <w:szCs w:val="28"/>
          <w:u w:val="single"/>
        </w:rPr>
        <w:t>*****</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
          <w:bCs/>
          <w:sz w:val="28"/>
          <w:szCs w:val="28"/>
          <w:u w:val="single"/>
        </w:rPr>
        <w:t>****元</w:t>
      </w:r>
      <w:r>
        <w:rPr>
          <w:rFonts w:hint="eastAsia" w:ascii="仿宋" w:hAnsi="仿宋" w:eastAsia="仿宋" w:cs="仿宋"/>
          <w:sz w:val="28"/>
          <w:szCs w:val="28"/>
        </w:rPr>
        <w:t>）向甲方缴纳本项目的履约保证金（现金转账至甲方账户）。履约保证金在货物交付、验收合格后自动转为质保金</w:t>
      </w:r>
      <w:r>
        <w:rPr>
          <w:rFonts w:hint="eastAsia" w:ascii="仿宋" w:hAnsi="仿宋" w:eastAsia="仿宋" w:cs="仿宋"/>
          <w:kern w:val="2"/>
          <w:sz w:val="28"/>
          <w:szCs w:val="28"/>
          <w:highlight w:val="none"/>
        </w:rPr>
        <w:t>货物验收合格后质保期结束时一次性无息退还。</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七、交付地点：甲方指定地点。</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八、交付时间： </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九、售后服务：</w:t>
      </w:r>
    </w:p>
    <w:p>
      <w:pPr>
        <w:widowControl/>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rPr>
        <w:t>（1）乙方提供本合同的质保期为</w:t>
      </w:r>
      <w:r>
        <w:rPr>
          <w:rFonts w:hint="eastAsia" w:ascii="仿宋" w:hAnsi="仿宋" w:eastAsia="仿宋" w:cs="仿宋"/>
          <w:sz w:val="28"/>
          <w:szCs w:val="28"/>
          <w:lang w:eastAsia="zh-CN"/>
        </w:rPr>
        <w:t>验收合格</w:t>
      </w:r>
      <w:r>
        <w:rPr>
          <w:rFonts w:hint="eastAsia" w:ascii="仿宋" w:hAnsi="仿宋" w:eastAsia="仿宋" w:cs="仿宋"/>
          <w:sz w:val="28"/>
          <w:szCs w:val="28"/>
        </w:rPr>
        <w:t>之</w:t>
      </w:r>
      <w:r>
        <w:rPr>
          <w:rFonts w:hint="eastAsia" w:ascii="仿宋" w:hAnsi="仿宋" w:eastAsia="仿宋" w:cs="仿宋"/>
          <w:sz w:val="28"/>
          <w:szCs w:val="28"/>
          <w:highlight w:val="none"/>
        </w:rPr>
        <w:t>日起**年。若乙方提供的货物质保期不符合要求，甲方有权拒收，要求乙方提供符合要求的货物，因此导致延迟交货的，按相应的违约行为处理。</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rPr>
        <w:t>（2）乙方承担因货物本身的缺陷所应负的责任；所</w:t>
      </w:r>
      <w:r>
        <w:rPr>
          <w:rFonts w:hint="eastAsia" w:ascii="仿宋" w:hAnsi="仿宋" w:eastAsia="仿宋" w:cs="仿宋"/>
          <w:sz w:val="28"/>
          <w:szCs w:val="28"/>
        </w:rPr>
        <w:t>有产品在质保期内发生质量问题，乙方无条件给予退换。</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000000" w:themeColor="text1"/>
          <w:sz w:val="28"/>
          <w:szCs w:val="28"/>
        </w:rPr>
        <w:t>甲方可在本次采购</w:t>
      </w:r>
      <w:r>
        <w:rPr>
          <w:rFonts w:hint="eastAsia" w:ascii="仿宋" w:hAnsi="仿宋" w:eastAsia="仿宋" w:cs="仿宋"/>
          <w:color w:val="000000" w:themeColor="text1"/>
          <w:sz w:val="28"/>
          <w:szCs w:val="28"/>
          <w:highlight w:val="none"/>
        </w:rPr>
        <w:t>的货物内随机抽取样品送权威机构进行检测，由此产生的一切费用由乙方承担。若检测结果不符合</w:t>
      </w:r>
      <w:r>
        <w:rPr>
          <w:rFonts w:hint="eastAsia" w:ascii="仿宋" w:hAnsi="仿宋" w:eastAsia="仿宋" w:cs="仿宋"/>
          <w:sz w:val="28"/>
          <w:szCs w:val="28"/>
          <w:highlight w:val="none"/>
        </w:rPr>
        <w:t>招标（谈判）</w:t>
      </w:r>
      <w:r>
        <w:rPr>
          <w:rFonts w:hint="eastAsia" w:ascii="仿宋" w:hAnsi="仿宋" w:eastAsia="仿宋" w:cs="仿宋"/>
          <w:color w:val="000000" w:themeColor="text1"/>
          <w:sz w:val="28"/>
          <w:szCs w:val="28"/>
          <w:highlight w:val="none"/>
        </w:rPr>
        <w:t>文件参数要求，拒绝验收，重新供货，如两次抽取不符合</w:t>
      </w:r>
      <w:r>
        <w:rPr>
          <w:rFonts w:hint="eastAsia" w:ascii="仿宋" w:hAnsi="仿宋" w:eastAsia="仿宋" w:cs="仿宋"/>
          <w:sz w:val="28"/>
          <w:szCs w:val="28"/>
          <w:highlight w:val="none"/>
        </w:rPr>
        <w:t>招标（谈判）</w:t>
      </w:r>
      <w:r>
        <w:rPr>
          <w:rFonts w:hint="eastAsia" w:ascii="仿宋" w:hAnsi="仿宋" w:eastAsia="仿宋" w:cs="仿宋"/>
          <w:color w:val="000000" w:themeColor="text1"/>
          <w:sz w:val="28"/>
          <w:szCs w:val="28"/>
          <w:highlight w:val="none"/>
        </w:rPr>
        <w:t>文件参数要求，甲方有权终止合同，没收履约保证金，</w:t>
      </w:r>
      <w:r>
        <w:rPr>
          <w:rFonts w:hint="eastAsia" w:ascii="仿宋" w:hAnsi="仿宋" w:eastAsia="仿宋" w:cs="仿宋"/>
          <w:sz w:val="28"/>
          <w:szCs w:val="28"/>
          <w:highlight w:val="none"/>
        </w:rPr>
        <w:t>并要</w:t>
      </w:r>
      <w:r>
        <w:rPr>
          <w:rFonts w:hint="eastAsia" w:ascii="仿宋" w:hAnsi="仿宋" w:eastAsia="仿宋" w:cs="仿宋"/>
          <w:color w:val="auto"/>
          <w:sz w:val="28"/>
          <w:szCs w:val="28"/>
          <w:highlight w:val="none"/>
        </w:rPr>
        <w:t>求乙方赔偿甲方损失。</w:t>
      </w:r>
    </w:p>
    <w:p>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十一、付款方式：</w:t>
      </w:r>
      <w:r>
        <w:rPr>
          <w:rFonts w:hint="eastAsia" w:ascii="仿宋" w:hAnsi="仿宋" w:eastAsia="仿宋" w:cs="仿宋"/>
          <w:color w:val="auto"/>
          <w:kern w:val="2"/>
          <w:sz w:val="28"/>
          <w:szCs w:val="28"/>
          <w:highlight w:val="none"/>
        </w:rPr>
        <w:t>货物经验收合格后一个月内一次性付清，不计利息。</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十二、违约责任：</w:t>
      </w:r>
    </w:p>
    <w:p>
      <w:pPr>
        <w:widowControl/>
        <w:spacing w:line="460" w:lineRule="atLeas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highlight w:val="none"/>
        </w:rPr>
        <w:t>违约责任：如果乙方没有按照合同规定的时间交货和提供服务，甲方可从货款中扣除违约赔偿费，赔偿费应按每迟交一天，按合同总价的2‰计收。但违约赔偿费的最高限额为合同总价的10%。不足1天</w:t>
      </w:r>
      <w:r>
        <w:rPr>
          <w:rFonts w:hint="eastAsia" w:ascii="仿宋" w:hAnsi="仿宋" w:eastAsia="仿宋" w:cs="仿宋"/>
          <w:color w:val="auto"/>
          <w:sz w:val="28"/>
          <w:szCs w:val="28"/>
          <w:highlight w:val="none"/>
          <w:lang w:eastAsia="zh-CN"/>
        </w:rPr>
        <w:t>超过</w:t>
      </w:r>
      <w:r>
        <w:rPr>
          <w:rFonts w:hint="eastAsia" w:ascii="仿宋" w:hAnsi="仿宋" w:eastAsia="仿宋" w:cs="仿宋"/>
          <w:color w:val="auto"/>
          <w:sz w:val="28"/>
          <w:szCs w:val="28"/>
          <w:highlight w:val="none"/>
          <w:lang w:val="en-US" w:eastAsia="zh-CN"/>
        </w:rPr>
        <w:t>12个小时</w:t>
      </w:r>
      <w:r>
        <w:rPr>
          <w:rFonts w:hint="eastAsia" w:ascii="仿宋" w:hAnsi="仿宋" w:eastAsia="仿宋" w:cs="仿宋"/>
          <w:color w:val="auto"/>
          <w:sz w:val="28"/>
          <w:szCs w:val="28"/>
          <w:highlight w:val="none"/>
        </w:rPr>
        <w:t>按一天计算。如果乙方在达到最高限额后仍不能交货，甲方可考虑终止合同。</w:t>
      </w:r>
    </w:p>
    <w:p>
      <w:pPr>
        <w:widowControl/>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如果设备发生故障，投标供应商须在响应文件中承诺的时间内到达采购人处提供维修服务，“实际达到时间”每超过“承诺应到时间”24小时，扣除履约保证金5%，以此类推。</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十三、其他约定：</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pStyle w:val="16"/>
        <w:spacing w:before="0" w:beforeAutospacing="0" w:after="0" w:afterAutospacing="0" w:line="460" w:lineRule="exact"/>
        <w:ind w:firstLine="560" w:firstLineChars="200"/>
        <w:jc w:val="both"/>
        <w:rPr>
          <w:rFonts w:hint="eastAsia" w:ascii="仿宋" w:hAnsi="仿宋" w:eastAsia="仿宋" w:cs="仿宋"/>
          <w:color w:val="000000" w:themeColor="text1"/>
          <w:sz w:val="28"/>
          <w:szCs w:val="28"/>
        </w:rPr>
      </w:pPr>
      <w:r>
        <w:rPr>
          <w:rFonts w:hint="eastAsia" w:ascii="仿宋" w:hAnsi="仿宋" w:eastAsia="仿宋" w:cs="仿宋"/>
          <w:sz w:val="28"/>
          <w:szCs w:val="28"/>
        </w:rPr>
        <w:t>3、</w:t>
      </w:r>
      <w:r>
        <w:rPr>
          <w:rFonts w:hint="eastAsia" w:ascii="仿宋" w:hAnsi="仿宋" w:eastAsia="仿宋" w:cs="仿宋"/>
          <w:color w:val="000000" w:themeColor="text1"/>
          <w:sz w:val="28"/>
          <w:szCs w:val="28"/>
        </w:rPr>
        <w:t>质保期内对于出现的质量问题，乙方2小时内响应，12小时内到达现场，24小时内解决问题。如不能及时解决，提供甲方可以接受的解决方案或乙方无条件给予退换，否则，按条款十二扣除违约责任费。</w:t>
      </w:r>
    </w:p>
    <w:p>
      <w:pPr>
        <w:pStyle w:val="16"/>
        <w:spacing w:before="0" w:beforeAutospacing="0" w:after="0" w:afterAutospacing="0" w:line="460" w:lineRule="exact"/>
        <w:ind w:firstLine="560" w:firstLineChars="200"/>
        <w:jc w:val="both"/>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4、</w:t>
      </w:r>
      <w:r>
        <w:rPr>
          <w:rFonts w:hint="eastAsia" w:ascii="仿宋" w:hAnsi="仿宋" w:eastAsia="仿宋" w:cs="仿宋"/>
          <w:kern w:val="2"/>
          <w:sz w:val="28"/>
          <w:szCs w:val="28"/>
        </w:rPr>
        <w:t>如果设备发生故障，响应供应商须在接到采购人通知后</w:t>
      </w:r>
      <w:r>
        <w:rPr>
          <w:rFonts w:hint="eastAsia" w:ascii="仿宋" w:hAnsi="仿宋" w:eastAsia="仿宋" w:cs="仿宋"/>
          <w:b/>
          <w:bCs/>
          <w:color w:val="auto"/>
          <w:kern w:val="2"/>
          <w:sz w:val="28"/>
          <w:szCs w:val="28"/>
        </w:rPr>
        <w:t>6</w:t>
      </w:r>
      <w:r>
        <w:rPr>
          <w:rFonts w:hint="eastAsia" w:ascii="仿宋" w:hAnsi="仿宋" w:eastAsia="仿宋" w:cs="仿宋"/>
          <w:kern w:val="2"/>
          <w:sz w:val="28"/>
          <w:szCs w:val="28"/>
        </w:rPr>
        <w:t>小时内指派专业技术人员到达采购人指定地点提供维修服务。</w:t>
      </w:r>
    </w:p>
    <w:p>
      <w:pPr>
        <w:widowControl/>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rPr>
        <w:t>十四、本合同在甲方收取乙方提交的履约保证金，经甲、乙双方签字盖章后生效。</w:t>
      </w:r>
      <w:bookmarkStart w:id="37" w:name="_GoBack"/>
      <w:bookmarkEnd w:id="37"/>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sz w:val="28"/>
          <w:szCs w:val="28"/>
          <w:highlight w:val="none"/>
        </w:rPr>
        <w:t>十五、</w:t>
      </w:r>
      <w:r>
        <w:rPr>
          <w:rFonts w:hint="eastAsia" w:ascii="仿宋" w:hAnsi="仿宋" w:eastAsia="仿宋" w:cs="仿宋"/>
          <w:color w:val="000000" w:themeColor="text1"/>
          <w:sz w:val="28"/>
          <w:szCs w:val="28"/>
          <w:highlight w:val="none"/>
        </w:rPr>
        <w:t>本合同一式肆份，以中文书写。甲方叁份、</w:t>
      </w:r>
      <w:r>
        <w:rPr>
          <w:rFonts w:hint="eastAsia" w:ascii="仿宋" w:hAnsi="仿宋" w:eastAsia="仿宋" w:cs="仿宋"/>
          <w:color w:val="000000" w:themeColor="text1"/>
          <w:sz w:val="28"/>
          <w:szCs w:val="28"/>
          <w:highlight w:val="none"/>
          <w:u w:val="single"/>
        </w:rPr>
        <w:t>乙方壹</w:t>
      </w:r>
      <w:r>
        <w:rPr>
          <w:rFonts w:hint="eastAsia" w:ascii="仿宋" w:hAnsi="仿宋" w:eastAsia="仿宋" w:cs="仿宋"/>
          <w:color w:val="000000" w:themeColor="text1"/>
          <w:sz w:val="28"/>
          <w:szCs w:val="28"/>
          <w:highlight w:val="none"/>
        </w:rPr>
        <w:t>份，</w:t>
      </w:r>
      <w:r>
        <w:rPr>
          <w:rFonts w:hint="eastAsia" w:ascii="仿宋" w:hAnsi="仿宋" w:eastAsia="仿宋" w:cs="仿宋"/>
          <w:color w:val="000000" w:themeColor="text1"/>
          <w:sz w:val="28"/>
          <w:szCs w:val="28"/>
        </w:rPr>
        <w:t>具有同等法律效力。</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widowControl/>
        <w:spacing w:line="480" w:lineRule="auto"/>
        <w:ind w:left="6160" w:hanging="6160" w:hangingChars="2200"/>
        <w:jc w:val="left"/>
        <w:rPr>
          <w:rFonts w:hint="eastAsia" w:ascii="仿宋" w:hAnsi="仿宋" w:eastAsia="仿宋" w:cs="仿宋"/>
          <w:sz w:val="28"/>
          <w:szCs w:val="28"/>
        </w:rPr>
      </w:pPr>
    </w:p>
    <w:p>
      <w:pPr>
        <w:pStyle w:val="6"/>
        <w:rPr>
          <w:rFonts w:hint="eastAsia" w:ascii="仿宋" w:hAnsi="仿宋" w:eastAsia="仿宋" w:cs="仿宋"/>
          <w:sz w:val="28"/>
          <w:szCs w:val="28"/>
        </w:rPr>
      </w:pPr>
    </w:p>
    <w:p>
      <w:pPr>
        <w:widowControl/>
        <w:tabs>
          <w:tab w:val="left" w:pos="6100"/>
        </w:tabs>
        <w:spacing w:line="480" w:lineRule="auto"/>
        <w:ind w:left="5891" w:hanging="5891" w:hangingChars="2104"/>
        <w:jc w:val="left"/>
        <w:rPr>
          <w:rFonts w:ascii="FangSong_GB2312" w:hAnsi="FangSong_GB2312" w:eastAsia="FangSong_GB2312" w:cs="FangSong_GB2312"/>
          <w:b/>
          <w:sz w:val="28"/>
          <w:szCs w:val="28"/>
        </w:rPr>
      </w:pPr>
      <w:r>
        <w:rPr>
          <w:rFonts w:hint="eastAsia" w:ascii="FangSong_GB2312" w:hAnsi="FangSong_GB2312" w:eastAsia="FangSong_GB2312" w:cs="FangSong_GB2312"/>
          <w:sz w:val="28"/>
          <w:szCs w:val="28"/>
        </w:rPr>
        <w:t>甲方（盖章）：赣州市人民医院  乙方（盖章）：</w:t>
      </w:r>
      <w:r>
        <w:rPr>
          <w:rFonts w:hint="eastAsia" w:ascii="FangSong_GB2312" w:hAnsi="FangSong_GB2312" w:eastAsia="FangSong_GB2312" w:cs="FangSong_GB2312"/>
          <w:b/>
          <w:sz w:val="28"/>
          <w:szCs w:val="28"/>
        </w:rPr>
        <w:t xml:space="preserve"> </w:t>
      </w:r>
    </w:p>
    <w:p>
      <w:pPr>
        <w:widowControl/>
        <w:spacing w:line="480" w:lineRule="auto"/>
        <w:ind w:left="6160" w:hanging="6160" w:hangingChars="2200"/>
        <w:jc w:val="left"/>
        <w:rPr>
          <w:rFonts w:ascii="FangSong_GB2312" w:hAnsi="FangSong_GB2312" w:eastAsia="FangSong_GB2312" w:cs="FangSong_GB2312"/>
          <w:sz w:val="28"/>
          <w:szCs w:val="28"/>
        </w:rPr>
      </w:pPr>
    </w:p>
    <w:p>
      <w:pPr>
        <w:widowControl/>
        <w:spacing w:line="480" w:lineRule="auto"/>
        <w:ind w:left="4620" w:hanging="4620" w:hangingChars="16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法人授权代表签字 ：          法定代表人</w:t>
      </w:r>
    </w:p>
    <w:p>
      <w:pPr>
        <w:widowControl/>
        <w:spacing w:line="480" w:lineRule="auto"/>
        <w:ind w:left="4621" w:leftChars="1867" w:hanging="700" w:hangingChars="2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（或法人授权代表）签字</w:t>
      </w:r>
      <w:r>
        <w:rPr>
          <w:rFonts w:hint="eastAsia" w:ascii="FangSong_GB2312" w:hAnsi="FangSong_GB2312" w:eastAsia="FangSong_GB2312" w:cs="FangSong_GB2312"/>
          <w:sz w:val="24"/>
          <w:szCs w:val="28"/>
        </w:rPr>
        <w:t>：</w:t>
      </w:r>
    </w:p>
    <w:p>
      <w:pPr>
        <w:widowControl/>
        <w:spacing w:line="480" w:lineRule="auto"/>
        <w:ind w:left="5460" w:hanging="5460" w:hangingChars="19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甲方纳税人识别号：           乙方开户行： </w:t>
      </w:r>
    </w:p>
    <w:p>
      <w:pPr>
        <w:rPr>
          <w:rFonts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账号：</w:t>
      </w:r>
    </w:p>
    <w:p>
      <w:pPr>
        <w:widowControl/>
        <w:jc w:val="left"/>
      </w:pPr>
      <w:r>
        <w:rPr>
          <w:rFonts w:hint="eastAsia" w:ascii="FangSong_GB2312" w:hAnsi="FangSong_GB2312" w:eastAsia="FangSong_GB2312" w:cs="FangSong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360"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156"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240"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240"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312"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19</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27</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7385A9C"/>
    <w:multiLevelType w:val="multilevel"/>
    <w:tmpl w:val="57385A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E59B1"/>
    <w:rsid w:val="00144C3A"/>
    <w:rsid w:val="0016252E"/>
    <w:rsid w:val="001D45E0"/>
    <w:rsid w:val="001F265F"/>
    <w:rsid w:val="001F6F82"/>
    <w:rsid w:val="00241EC0"/>
    <w:rsid w:val="00243259"/>
    <w:rsid w:val="002823A6"/>
    <w:rsid w:val="0029334A"/>
    <w:rsid w:val="002F0C52"/>
    <w:rsid w:val="003114D1"/>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90311"/>
    <w:rsid w:val="007F33BD"/>
    <w:rsid w:val="00814287"/>
    <w:rsid w:val="00887C6A"/>
    <w:rsid w:val="008C31FC"/>
    <w:rsid w:val="008C3ADA"/>
    <w:rsid w:val="00946E9E"/>
    <w:rsid w:val="00A2769E"/>
    <w:rsid w:val="00A574FA"/>
    <w:rsid w:val="00B1204C"/>
    <w:rsid w:val="00B31A76"/>
    <w:rsid w:val="00BA54A1"/>
    <w:rsid w:val="00BD0040"/>
    <w:rsid w:val="00BD7DFC"/>
    <w:rsid w:val="00BF161C"/>
    <w:rsid w:val="00CE5392"/>
    <w:rsid w:val="00D022B3"/>
    <w:rsid w:val="00D3589B"/>
    <w:rsid w:val="00E113B0"/>
    <w:rsid w:val="00E87C1E"/>
    <w:rsid w:val="00F138FE"/>
    <w:rsid w:val="00F204CC"/>
    <w:rsid w:val="00F66CFE"/>
    <w:rsid w:val="00F7786A"/>
    <w:rsid w:val="020413E9"/>
    <w:rsid w:val="02256527"/>
    <w:rsid w:val="03A25835"/>
    <w:rsid w:val="03DB0C15"/>
    <w:rsid w:val="040B2539"/>
    <w:rsid w:val="05374457"/>
    <w:rsid w:val="05513FB9"/>
    <w:rsid w:val="05944970"/>
    <w:rsid w:val="05A259F1"/>
    <w:rsid w:val="06434357"/>
    <w:rsid w:val="0805459F"/>
    <w:rsid w:val="09C0315B"/>
    <w:rsid w:val="0D114D25"/>
    <w:rsid w:val="0DBF66E3"/>
    <w:rsid w:val="0E161F02"/>
    <w:rsid w:val="0F1A30FD"/>
    <w:rsid w:val="0FB92CFD"/>
    <w:rsid w:val="1185046F"/>
    <w:rsid w:val="11CE0705"/>
    <w:rsid w:val="136F081D"/>
    <w:rsid w:val="144F00AB"/>
    <w:rsid w:val="14F70F85"/>
    <w:rsid w:val="153731B5"/>
    <w:rsid w:val="15C21D0E"/>
    <w:rsid w:val="16224B8A"/>
    <w:rsid w:val="17495052"/>
    <w:rsid w:val="185F2E14"/>
    <w:rsid w:val="186E29F0"/>
    <w:rsid w:val="18D06EE5"/>
    <w:rsid w:val="18FF4769"/>
    <w:rsid w:val="1967240D"/>
    <w:rsid w:val="1CE11745"/>
    <w:rsid w:val="1D5A5283"/>
    <w:rsid w:val="1EAE02AF"/>
    <w:rsid w:val="1EDC6A30"/>
    <w:rsid w:val="1F101AC8"/>
    <w:rsid w:val="1F650E03"/>
    <w:rsid w:val="21152A38"/>
    <w:rsid w:val="217F1BDC"/>
    <w:rsid w:val="21B40E5C"/>
    <w:rsid w:val="23A65045"/>
    <w:rsid w:val="24326DF1"/>
    <w:rsid w:val="2787664C"/>
    <w:rsid w:val="29202D69"/>
    <w:rsid w:val="29A84304"/>
    <w:rsid w:val="2A8D0A89"/>
    <w:rsid w:val="2DA2595A"/>
    <w:rsid w:val="2DAE5520"/>
    <w:rsid w:val="2EA451BE"/>
    <w:rsid w:val="2F0C4AC8"/>
    <w:rsid w:val="2FBC562B"/>
    <w:rsid w:val="31C52836"/>
    <w:rsid w:val="33C852BE"/>
    <w:rsid w:val="3484049C"/>
    <w:rsid w:val="350230B9"/>
    <w:rsid w:val="35A6339D"/>
    <w:rsid w:val="35A94196"/>
    <w:rsid w:val="35AA215E"/>
    <w:rsid w:val="37285450"/>
    <w:rsid w:val="37513ABD"/>
    <w:rsid w:val="37D35675"/>
    <w:rsid w:val="37DF52E0"/>
    <w:rsid w:val="3802761D"/>
    <w:rsid w:val="39543CFA"/>
    <w:rsid w:val="3C8461D9"/>
    <w:rsid w:val="3DB86EC2"/>
    <w:rsid w:val="3E36565C"/>
    <w:rsid w:val="3F566DB0"/>
    <w:rsid w:val="3FDB4206"/>
    <w:rsid w:val="40044169"/>
    <w:rsid w:val="4088404F"/>
    <w:rsid w:val="41E411A4"/>
    <w:rsid w:val="427450A4"/>
    <w:rsid w:val="44AC07D5"/>
    <w:rsid w:val="495316D7"/>
    <w:rsid w:val="4A0E2953"/>
    <w:rsid w:val="4AD203D4"/>
    <w:rsid w:val="4B8B03E4"/>
    <w:rsid w:val="4D5F402F"/>
    <w:rsid w:val="5457723A"/>
    <w:rsid w:val="55186A94"/>
    <w:rsid w:val="55327DE0"/>
    <w:rsid w:val="5596403B"/>
    <w:rsid w:val="55B67588"/>
    <w:rsid w:val="56AB515B"/>
    <w:rsid w:val="5AD7610B"/>
    <w:rsid w:val="5AE1172E"/>
    <w:rsid w:val="5B663EC1"/>
    <w:rsid w:val="5F482BBC"/>
    <w:rsid w:val="608B564A"/>
    <w:rsid w:val="60932E3B"/>
    <w:rsid w:val="60A70E99"/>
    <w:rsid w:val="629C7D87"/>
    <w:rsid w:val="63470076"/>
    <w:rsid w:val="6381334D"/>
    <w:rsid w:val="6671254F"/>
    <w:rsid w:val="6D5E2C6E"/>
    <w:rsid w:val="6D8D1A10"/>
    <w:rsid w:val="6E9A4257"/>
    <w:rsid w:val="6F066E31"/>
    <w:rsid w:val="700A6127"/>
    <w:rsid w:val="7189237A"/>
    <w:rsid w:val="71B205C1"/>
    <w:rsid w:val="71C93182"/>
    <w:rsid w:val="72E668ED"/>
    <w:rsid w:val="73192E1A"/>
    <w:rsid w:val="73E877E6"/>
    <w:rsid w:val="76FC3A18"/>
    <w:rsid w:val="77855D8E"/>
    <w:rsid w:val="77A607E9"/>
    <w:rsid w:val="79B23531"/>
    <w:rsid w:val="7ABD1B42"/>
    <w:rsid w:val="7B4E2D2D"/>
    <w:rsid w:val="7C941342"/>
    <w:rsid w:val="7CD66059"/>
    <w:rsid w:val="7CFC3D2D"/>
    <w:rsid w:val="7DE411BD"/>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rFonts w:ascii="Times New Roman" w:hAnsi="Times New Roman" w:eastAsia="宋体" w:cs="Times New Roman"/>
      <w:b/>
      <w:bCs/>
      <w:szCs w:val="20"/>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6AF56-56D4-4212-9B00-B5195C7F70E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30</Pages>
  <Words>1816</Words>
  <Characters>10354</Characters>
  <Lines>86</Lines>
  <Paragraphs>24</Paragraphs>
  <TotalTime>3</TotalTime>
  <ScaleCrop>false</ScaleCrop>
  <LinksUpToDate>false</LinksUpToDate>
  <CharactersWithSpaces>12146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2020-01-14T08:30:18Z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