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项目名称：赣州市人民医院直饮水机租赁采购项目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YN2020-015</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二0二0年六月</w:t>
      </w:r>
      <w:r>
        <w:rPr>
          <w:rFonts w:hint="eastAsia" w:eastAsia="黑体"/>
          <w:b/>
          <w:bCs/>
          <w:sz w:val="32"/>
          <w:lang w:eastAsia="zh-CN"/>
        </w:rPr>
        <w:t>十二</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12</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5</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highlight w:val="none"/>
        </w:rPr>
      </w:pPr>
      <w:r>
        <w:rPr>
          <w:rFonts w:hint="eastAsia" w:ascii="宋体" w:hAnsi="宋体" w:cs="宋体"/>
          <w:sz w:val="30"/>
          <w:szCs w:val="30"/>
        </w:rPr>
        <w:t>赣州市人民医院近</w:t>
      </w:r>
      <w:r>
        <w:rPr>
          <w:rFonts w:hint="eastAsia" w:ascii="宋体" w:hAnsi="宋体" w:cs="宋体"/>
          <w:sz w:val="30"/>
          <w:szCs w:val="30"/>
          <w:highlight w:val="none"/>
        </w:rPr>
        <w:t>期将对直饮水机租赁采购项目进行竞争性谈判采购。欢迎符合资格条件的供应商前来参加。</w:t>
      </w:r>
    </w:p>
    <w:p>
      <w:pPr>
        <w:pStyle w:val="10"/>
        <w:spacing w:line="460" w:lineRule="exact"/>
        <w:ind w:firstLine="602"/>
        <w:rPr>
          <w:rFonts w:ascii="宋体" w:hAnsi="宋体" w:cs="宋体"/>
          <w:sz w:val="30"/>
          <w:szCs w:val="30"/>
          <w:highlight w:val="none"/>
        </w:rPr>
      </w:pPr>
      <w:r>
        <w:rPr>
          <w:rFonts w:hint="eastAsia" w:ascii="宋体" w:hAnsi="宋体" w:cs="宋体"/>
          <w:b/>
          <w:bCs/>
          <w:sz w:val="30"/>
          <w:szCs w:val="30"/>
          <w:highlight w:val="none"/>
        </w:rPr>
        <w:t>（一）项目编号：</w:t>
      </w:r>
      <w:r>
        <w:rPr>
          <w:rFonts w:hint="eastAsia" w:ascii="宋体" w:hAnsi="宋体" w:eastAsia="宋体" w:cs="宋体"/>
          <w:b w:val="0"/>
          <w:bCs w:val="0"/>
          <w:color w:val="auto"/>
          <w:sz w:val="30"/>
          <w:szCs w:val="30"/>
          <w:lang w:val="en-US" w:eastAsia="zh-CN"/>
        </w:rPr>
        <w:t>YN2020-015</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bookmarkStart w:id="38" w:name="_GoBack"/>
      <w:bookmarkEnd w:id="38"/>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1114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72"/>
        <w:gridCol w:w="2551"/>
        <w:gridCol w:w="1276"/>
        <w:gridCol w:w="2835"/>
        <w:gridCol w:w="23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2172" w:type="dxa"/>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color w:val="auto"/>
                <w:sz w:val="30"/>
                <w:szCs w:val="30"/>
                <w:highlight w:val="none"/>
              </w:rPr>
            </w:pPr>
            <w:r>
              <w:rPr>
                <w:rFonts w:hint="eastAsia"/>
                <w:b/>
                <w:color w:val="auto"/>
                <w:spacing w:val="-20"/>
                <w:sz w:val="30"/>
                <w:szCs w:val="30"/>
                <w:highlight w:val="none"/>
              </w:rPr>
              <w:t>项目名称</w:t>
            </w:r>
          </w:p>
        </w:tc>
        <w:tc>
          <w:tcPr>
            <w:tcW w:w="2551" w:type="dxa"/>
            <w:tcBorders>
              <w:top w:val="single" w:color="auto" w:sz="8" w:space="0"/>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color w:val="auto"/>
                <w:sz w:val="30"/>
                <w:szCs w:val="30"/>
                <w:highlight w:val="none"/>
              </w:rPr>
            </w:pPr>
            <w:r>
              <w:rPr>
                <w:rFonts w:hint="eastAsia"/>
                <w:b/>
                <w:color w:val="auto"/>
                <w:spacing w:val="-20"/>
                <w:sz w:val="30"/>
                <w:szCs w:val="30"/>
                <w:highlight w:val="none"/>
              </w:rPr>
              <w:t>数量</w:t>
            </w:r>
          </w:p>
        </w:tc>
        <w:tc>
          <w:tcPr>
            <w:tcW w:w="1276" w:type="dxa"/>
            <w:tcBorders>
              <w:top w:val="single" w:color="auto" w:sz="8" w:space="0"/>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color w:val="auto"/>
                <w:sz w:val="30"/>
                <w:szCs w:val="30"/>
                <w:highlight w:val="none"/>
              </w:rPr>
            </w:pPr>
            <w:r>
              <w:rPr>
                <w:rFonts w:hint="eastAsia"/>
                <w:b/>
                <w:color w:val="auto"/>
                <w:spacing w:val="-20"/>
                <w:sz w:val="30"/>
                <w:szCs w:val="30"/>
                <w:highlight w:val="none"/>
              </w:rPr>
              <w:t>租赁期限</w:t>
            </w:r>
          </w:p>
        </w:tc>
        <w:tc>
          <w:tcPr>
            <w:tcW w:w="2835" w:type="dxa"/>
            <w:tcBorders>
              <w:top w:val="single" w:color="auto" w:sz="8" w:space="0"/>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color w:val="auto"/>
                <w:sz w:val="30"/>
                <w:szCs w:val="30"/>
                <w:highlight w:val="none"/>
              </w:rPr>
            </w:pPr>
            <w:r>
              <w:rPr>
                <w:rFonts w:hint="eastAsia"/>
                <w:b/>
                <w:color w:val="auto"/>
                <w:spacing w:val="-20"/>
                <w:sz w:val="30"/>
                <w:szCs w:val="30"/>
                <w:highlight w:val="none"/>
              </w:rPr>
              <w:t>主要技术规格及要求</w:t>
            </w:r>
          </w:p>
        </w:tc>
        <w:tc>
          <w:tcPr>
            <w:tcW w:w="2312" w:type="dxa"/>
            <w:tcBorders>
              <w:top w:val="single" w:color="auto" w:sz="8" w:space="0"/>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ind w:left="261" w:hanging="261" w:hangingChars="100"/>
              <w:jc w:val="both"/>
              <w:rPr>
                <w:color w:val="auto"/>
                <w:sz w:val="30"/>
                <w:szCs w:val="30"/>
                <w:highlight w:val="none"/>
              </w:rPr>
            </w:pPr>
            <w:r>
              <w:rPr>
                <w:rFonts w:hint="eastAsia"/>
                <w:b/>
                <w:color w:val="auto"/>
                <w:spacing w:val="-20"/>
                <w:sz w:val="30"/>
                <w:szCs w:val="30"/>
                <w:highlight w:val="none"/>
              </w:rPr>
              <w:t>预算单价（元）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95" w:hRule="atLeast"/>
          <w:jc w:val="center"/>
        </w:trPr>
        <w:tc>
          <w:tcPr>
            <w:tcW w:w="2172" w:type="dxa"/>
            <w:tcBorders>
              <w:top w:val="single" w:color="auto" w:sz="4" w:space="0"/>
              <w:left w:val="single" w:color="auto" w:sz="4" w:space="0"/>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color w:val="auto"/>
                <w:sz w:val="30"/>
                <w:szCs w:val="30"/>
                <w:highlight w:val="none"/>
              </w:rPr>
            </w:pPr>
            <w:r>
              <w:rPr>
                <w:color w:val="auto"/>
                <w:sz w:val="30"/>
                <w:szCs w:val="30"/>
                <w:highlight w:val="none"/>
              </w:rPr>
              <w:t>直饮水机租赁采购项目</w:t>
            </w:r>
          </w:p>
        </w:tc>
        <w:tc>
          <w:tcPr>
            <w:tcW w:w="2551" w:type="dxa"/>
            <w:tcBorders>
              <w:top w:val="single" w:color="auto" w:sz="4" w:space="0"/>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约18台（按</w:t>
            </w:r>
            <w:r>
              <w:rPr>
                <w:rFonts w:hint="eastAsia" w:cs="FangSong_GB2312" w:asciiTheme="minorEastAsia" w:hAnsiTheme="minorEastAsia" w:eastAsiaTheme="minorEastAsia"/>
                <w:color w:val="auto"/>
                <w:sz w:val="30"/>
                <w:szCs w:val="30"/>
                <w:highlight w:val="none"/>
              </w:rPr>
              <w:t>采购人</w:t>
            </w:r>
            <w:r>
              <w:rPr>
                <w:rFonts w:hint="eastAsia" w:asciiTheme="minorEastAsia" w:hAnsiTheme="minorEastAsia" w:eastAsiaTheme="minorEastAsia"/>
                <w:color w:val="auto"/>
                <w:sz w:val="30"/>
                <w:szCs w:val="30"/>
                <w:highlight w:val="none"/>
              </w:rPr>
              <w:t>实际要求供货）</w:t>
            </w:r>
          </w:p>
        </w:tc>
        <w:tc>
          <w:tcPr>
            <w:tcW w:w="1276" w:type="dxa"/>
            <w:tcBorders>
              <w:top w:val="single" w:color="auto" w:sz="4" w:space="0"/>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color w:val="auto"/>
                <w:sz w:val="30"/>
                <w:szCs w:val="30"/>
                <w:highlight w:val="none"/>
              </w:rPr>
            </w:pPr>
            <w:r>
              <w:rPr>
                <w:rFonts w:hint="eastAsia"/>
                <w:color w:val="auto"/>
                <w:sz w:val="30"/>
                <w:szCs w:val="30"/>
                <w:highlight w:val="none"/>
              </w:rPr>
              <w:t>5年</w:t>
            </w:r>
          </w:p>
        </w:tc>
        <w:tc>
          <w:tcPr>
            <w:tcW w:w="2835" w:type="dxa"/>
            <w:tcBorders>
              <w:top w:val="single" w:color="auto" w:sz="4" w:space="0"/>
              <w:left w:val="nil"/>
              <w:bottom w:val="single" w:color="auto" w:sz="4"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color w:val="auto"/>
                <w:sz w:val="30"/>
                <w:szCs w:val="30"/>
                <w:highlight w:val="none"/>
              </w:rPr>
            </w:pPr>
            <w:r>
              <w:rPr>
                <w:rFonts w:hint="eastAsia"/>
                <w:color w:val="auto"/>
                <w:sz w:val="30"/>
                <w:szCs w:val="30"/>
                <w:highlight w:val="none"/>
              </w:rPr>
              <w:t>详见采购项目需求</w:t>
            </w:r>
          </w:p>
        </w:tc>
        <w:tc>
          <w:tcPr>
            <w:tcW w:w="2312" w:type="dxa"/>
            <w:tcBorders>
              <w:top w:val="single" w:color="auto" w:sz="4" w:space="0"/>
              <w:left w:val="nil"/>
              <w:bottom w:val="single" w:color="auto" w:sz="4" w:space="0"/>
              <w:right w:val="single" w:color="auto" w:sz="4" w:space="0"/>
            </w:tcBorders>
            <w:noWrap/>
            <w:tcMar>
              <w:left w:w="108" w:type="dxa"/>
              <w:right w:w="108" w:type="dxa"/>
            </w:tcMar>
            <w:vAlign w:val="center"/>
          </w:tcPr>
          <w:p>
            <w:pPr>
              <w:pStyle w:val="16"/>
              <w:spacing w:before="0" w:beforeAutospacing="0" w:after="0" w:afterAutospacing="0" w:line="460" w:lineRule="exact"/>
              <w:ind w:firstLine="300" w:firstLineChars="100"/>
              <w:jc w:val="both"/>
              <w:rPr>
                <w:color w:val="auto"/>
                <w:sz w:val="30"/>
                <w:szCs w:val="30"/>
                <w:highlight w:val="none"/>
              </w:rPr>
            </w:pPr>
            <w:r>
              <w:rPr>
                <w:rFonts w:hint="eastAsia"/>
                <w:color w:val="auto"/>
                <w:sz w:val="30"/>
                <w:szCs w:val="30"/>
                <w:highlight w:val="none"/>
              </w:rPr>
              <w:t>250元/台/月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70" w:hRule="atLeast"/>
          <w:jc w:val="center"/>
        </w:trPr>
        <w:tc>
          <w:tcPr>
            <w:tcW w:w="8834" w:type="dxa"/>
            <w:gridSpan w:val="4"/>
            <w:tcBorders>
              <w:top w:val="single" w:color="auto" w:sz="4"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color w:val="auto"/>
                <w:sz w:val="30"/>
                <w:szCs w:val="30"/>
                <w:highlight w:val="none"/>
              </w:rPr>
            </w:pPr>
            <w:r>
              <w:rPr>
                <w:rFonts w:hint="eastAsia"/>
                <w:color w:val="auto"/>
                <w:sz w:val="30"/>
                <w:szCs w:val="30"/>
                <w:highlight w:val="none"/>
              </w:rPr>
              <w:t>预算总金额</w:t>
            </w:r>
          </w:p>
        </w:tc>
        <w:tc>
          <w:tcPr>
            <w:tcW w:w="2312" w:type="dxa"/>
            <w:tcBorders>
              <w:top w:val="single" w:color="auto" w:sz="4"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color w:val="auto"/>
                <w:sz w:val="30"/>
                <w:szCs w:val="30"/>
                <w:highlight w:val="none"/>
              </w:rPr>
            </w:pPr>
            <w:r>
              <w:rPr>
                <w:rFonts w:hint="eastAsia"/>
                <w:color w:val="auto"/>
                <w:sz w:val="30"/>
                <w:szCs w:val="30"/>
                <w:highlight w:val="none"/>
              </w:rPr>
              <w:t>270000</w:t>
            </w:r>
          </w:p>
        </w:tc>
      </w:tr>
    </w:tbl>
    <w:p>
      <w:pPr>
        <w:pStyle w:val="16"/>
        <w:spacing w:before="0" w:beforeAutospacing="0" w:after="0" w:afterAutospacing="0" w:line="460" w:lineRule="exact"/>
        <w:ind w:firstLine="602" w:firstLineChars="200"/>
        <w:jc w:val="both"/>
        <w:rPr>
          <w:kern w:val="2"/>
          <w:sz w:val="30"/>
          <w:szCs w:val="30"/>
        </w:rPr>
      </w:pPr>
      <w:r>
        <w:rPr>
          <w:rFonts w:hint="eastAsia"/>
          <w:b/>
          <w:bCs/>
          <w:color w:val="auto"/>
          <w:kern w:val="2"/>
          <w:sz w:val="30"/>
          <w:szCs w:val="30"/>
          <w:highlight w:val="none"/>
        </w:rPr>
        <w:t>（四）谈判方式：</w:t>
      </w:r>
      <w:r>
        <w:rPr>
          <w:rFonts w:hint="eastAsia"/>
          <w:color w:val="auto"/>
          <w:kern w:val="2"/>
          <w:sz w:val="30"/>
          <w:szCs w:val="30"/>
          <w:highlight w:val="none"/>
        </w:rPr>
        <w:t>本项目不接受联合体响应。开启结束后，谈判</w:t>
      </w:r>
      <w:r>
        <w:rPr>
          <w:rFonts w:hint="eastAsia"/>
          <w:kern w:val="2"/>
          <w:sz w:val="30"/>
          <w:szCs w:val="30"/>
        </w:rPr>
        <w:t>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12</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2020年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15</w:t>
      </w:r>
      <w:r>
        <w:rPr>
          <w:rFonts w:hint="eastAsia"/>
          <w:kern w:val="2"/>
          <w:sz w:val="30"/>
          <w:szCs w:val="30"/>
        </w:rPr>
        <w:t>日至2020年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17</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2020年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19</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伍仟元</w:t>
      </w:r>
      <w:r>
        <w:rPr>
          <w:rFonts w:hint="eastAsia"/>
          <w:kern w:val="2"/>
          <w:sz w:val="30"/>
          <w:szCs w:val="30"/>
        </w:rPr>
        <w:t>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齐</w:t>
      </w:r>
      <w:r>
        <w:rPr>
          <w:rFonts w:hint="eastAsia"/>
          <w:color w:val="auto"/>
          <w:kern w:val="2"/>
          <w:sz w:val="30"/>
          <w:szCs w:val="30"/>
          <w:highlight w:val="none"/>
        </w:rPr>
        <w:t>，服务期结束时无质量问题一次性无息退还。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color w:val="auto"/>
          <w:kern w:val="2"/>
          <w:sz w:val="30"/>
          <w:szCs w:val="30"/>
        </w:rPr>
        <w:t>费用按月统计、按季度结算支</w:t>
      </w:r>
      <w:r>
        <w:rPr>
          <w:rFonts w:hint="eastAsia"/>
          <w:color w:val="auto"/>
          <w:kern w:val="2"/>
          <w:sz w:val="30"/>
          <w:szCs w:val="30"/>
          <w:highlight w:val="none"/>
        </w:rPr>
        <w:t>付，每季度根据实际使用数量结算，经采购人核定租赁数量、服务时间、服务质量后，供应商开具相应金额的合法税票，采购人收到合法税票后两个月内以转账方式支付相应款项，依此类推，不计利息。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499477410"/>
      <w:bookmarkStart w:id="7" w:name="_Toc501101639"/>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5、交货期：供应商在《中标通知书》规定的时间内和采购人签订正式合同，并在每次接到采购人通知之日起</w:t>
      </w:r>
      <w:r>
        <w:rPr>
          <w:rFonts w:hint="eastAsia"/>
          <w:b/>
          <w:bCs/>
          <w:color w:val="auto"/>
          <w:kern w:val="2"/>
          <w:sz w:val="30"/>
          <w:szCs w:val="30"/>
          <w:highlight w:val="yellow"/>
        </w:rPr>
        <w:t>30</w:t>
      </w:r>
      <w:r>
        <w:rPr>
          <w:rFonts w:hint="eastAsia"/>
          <w:color w:val="auto"/>
          <w:kern w:val="2"/>
          <w:sz w:val="30"/>
          <w:szCs w:val="30"/>
          <w:highlight w:val="yellow"/>
        </w:rPr>
        <w:t>天</w:t>
      </w:r>
      <w:r>
        <w:rPr>
          <w:rFonts w:hint="eastAsia"/>
          <w:color w:val="auto"/>
          <w:kern w:val="2"/>
          <w:sz w:val="30"/>
          <w:szCs w:val="30"/>
        </w:rPr>
        <w:t xml:space="preserve">内完成供货，包含安装调试，并交付使用。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highlight w:val="none"/>
        </w:rPr>
        <w:t>7、采购模式：以租赁模式采购(数量按采购人实际要求供货为准)，每月以实际数量结算。</w:t>
      </w:r>
      <w:r>
        <w:rPr>
          <w:rFonts w:hint="eastAsia"/>
          <w:color w:val="auto"/>
          <w:kern w:val="2"/>
          <w:sz w:val="30"/>
          <w:szCs w:val="30"/>
        </w:rPr>
        <w:t>采购人仅负责水、电，提供水电接口，如需要增加水电线路由供应商承担，设备产生的一切安全责任问题由供应商负责。</w:t>
      </w:r>
      <w:r>
        <w:rPr>
          <w:rFonts w:hint="eastAsia"/>
          <w:color w:val="auto"/>
          <w:kern w:val="2"/>
          <w:sz w:val="30"/>
          <w:szCs w:val="30"/>
          <w:highlight w:val="yellow"/>
        </w:rPr>
        <w:t>合同期内，采购金额达到270000元时，合同自动终止。</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8、产品参数要求：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（一）主要技术参数及要求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（1）净水流量≥ 0.7 L/min，额定总净水量≥ 5000 L；制热水能力≥ 30 L/h，压力桶≥2.5G，热罐容量≥ 20 L，出水量和水箱容量能满足放置地点人流量需求；需提供该设备涉水批件原件扫描件加盖制造商公章（2）整机额定总功率≤ 3100W，电源220V/50Hz；（3）水龙头配置：≧2个（一开一温）（开水温度≧95℃）；（4）净水工艺：PP棉→活性炭→RO反渗透膜→活性炭→紫外线杀菌器，出水水质：符合《生活饮用水水质处理器卫生安全与功能评价规范——反渗透处理装置》（2001）的要求，《生活饮用水卫生标准》（GB5749-2006）的标准，需提供该设备涉水批件原件扫描件加盖制造商公章；（5）带有热水童锁功能，防止烫伤，加热后整机机身不烫手，防止触摸烫伤；（6）具有故障、停电、缺水保护、防干烧、防漏电、防漏水功能 ，发生漏水自动关闭进水水源；（7）配备接水盒，具有防溅功能，污水可直接排走，不需要人工倒水；（8）具有 CCC 认证（或CQC认证）及省级卫生许可批件，提供认证证书原件扫描件加盖制造商公章；（9）所投设备为节能产品，提供中国节能产品认证证书原件扫描件加盖制造商公章；（10）外观时尚，尺寸满足安装地点需求，具体款式由采购人选定，安装地点由医院指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（二）服务要求</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1）供应商提供的设备保障是全新未使用过的；供应商每个月对每台设备进行水质检测，每半年需对所有设备更换全新未使用的滤芯，如使用过程中设备提示更换滤芯，即使未到更换时间，供应商也需对提示更换滤芯的设备进行滤芯更换。每年由供应商提供第三方抽检，每次抽检必保证水质达标《生活饮用水卫生标准》（GB5749-2006）的标准, 水质检测所发生的一切费用由供应商承担，如在使用时发现供应商所投产品的功能满足不了我院门诊人流量最大区域的使用需求或场地尺寸要求，供应商必须无条件更换符合要求的产品，且不得增加任何费用，且所有区域均使用同一型号产品，有完善的维保和应急方案；如因水质不达标造成饮用者身体不适，需承担相应责任。</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（2）供应商应至少每周巡视所有设备至少一次，保证设备性能完好，能正常使用；如设备发生故障或其他问题，在接到采购人通知后2小时内供应商需到现场进行故障排查，设备维修需要暂停使用的时间</w:t>
      </w:r>
      <w:r>
        <w:rPr>
          <w:rFonts w:hint="eastAsia"/>
          <w:color w:val="auto"/>
          <w:kern w:val="2"/>
          <w:sz w:val="30"/>
          <w:szCs w:val="30"/>
          <w:highlight w:val="none"/>
        </w:rPr>
        <w:t>≥</w:t>
      </w:r>
      <w:r>
        <w:rPr>
          <w:rFonts w:hint="eastAsia"/>
          <w:color w:val="auto"/>
          <w:kern w:val="2"/>
          <w:sz w:val="30"/>
          <w:szCs w:val="30"/>
          <w:highlight w:val="none"/>
          <w:lang w:val="en-US" w:eastAsia="zh-CN"/>
        </w:rPr>
        <w:t>12</w:t>
      </w:r>
      <w:r>
        <w:rPr>
          <w:rFonts w:hint="eastAsia"/>
          <w:color w:val="auto"/>
          <w:kern w:val="2"/>
          <w:sz w:val="30"/>
          <w:szCs w:val="30"/>
          <w:highlight w:val="none"/>
        </w:rPr>
        <w:t>小时</w:t>
      </w:r>
      <w:r>
        <w:rPr>
          <w:rFonts w:hint="eastAsia"/>
          <w:color w:val="auto"/>
          <w:kern w:val="2"/>
          <w:sz w:val="30"/>
          <w:szCs w:val="30"/>
        </w:rPr>
        <w:t>，供应商应提供备用设备替换，如维修后仍无法正常使用，供应商需更换新机。</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9、售后要求：</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响应供应商须提供完善的售后服务，</w:t>
      </w:r>
      <w:r>
        <w:rPr>
          <w:rFonts w:hint="eastAsia"/>
          <w:color w:val="auto"/>
          <w:kern w:val="2"/>
          <w:sz w:val="30"/>
          <w:szCs w:val="30"/>
          <w:highlight w:val="yellow"/>
        </w:rPr>
        <w:t>在采购人租赁期间，所租直饮机设备故障，均由供应商负责，不得要求采购人另行支付费用。</w:t>
      </w:r>
      <w:r>
        <w:rPr>
          <w:rFonts w:hint="eastAsia"/>
          <w:color w:val="auto"/>
          <w:kern w:val="2"/>
          <w:sz w:val="30"/>
          <w:szCs w:val="30"/>
        </w:rPr>
        <w:t>如果设备发生故障，供应商须在接到采购人通知后2小时内指派专业技术人员到达采购人指定地点提供维修服务。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10、违约赔偿：</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10.1如果供应商没有按照合同规定的时间交货和提供服务，采购人可从货款中扣除违约赔偿费，赔偿费应按每迟交一天，</w:t>
      </w:r>
      <w:r>
        <w:rPr>
          <w:rFonts w:hint="eastAsia"/>
          <w:color w:val="auto"/>
          <w:sz w:val="30"/>
          <w:szCs w:val="30"/>
          <w:highlight w:val="none"/>
        </w:rPr>
        <w:t>按合同总价的2‰计收，不足一天超过12小时按一天计算，违约金的最高限额为合同总价的10%。</w:t>
      </w:r>
      <w:r>
        <w:rPr>
          <w:rFonts w:hint="eastAsia"/>
          <w:color w:val="auto"/>
          <w:kern w:val="2"/>
          <w:sz w:val="30"/>
          <w:szCs w:val="30"/>
          <w:highlight w:val="none"/>
        </w:rPr>
        <w:t>如果供应商在达到最高限额后仍不能交货，采购人可单方面终止合同。</w:t>
      </w:r>
    </w:p>
    <w:p>
      <w:pPr>
        <w:widowControl/>
        <w:spacing w:line="460" w:lineRule="exact"/>
        <w:ind w:firstLine="600" w:firstLineChars="200"/>
        <w:jc w:val="left"/>
        <w:rPr>
          <w:rFonts w:ascii="宋体" w:hAnsi="宋体" w:cs="宋体"/>
          <w:color w:val="auto"/>
          <w:sz w:val="30"/>
          <w:szCs w:val="30"/>
          <w:highlight w:val="none"/>
        </w:rPr>
      </w:pPr>
      <w:r>
        <w:rPr>
          <w:rFonts w:hint="eastAsia"/>
          <w:color w:val="auto"/>
          <w:sz w:val="30"/>
          <w:szCs w:val="30"/>
          <w:highlight w:val="none"/>
        </w:rPr>
        <w:t>10.2如果设备发生故障，除不可抗力因素外，供应商须在响应文件中承诺的时间内到达采购人处提供维修服务，“实际达到时间”每超过“承诺应到时间”</w:t>
      </w:r>
      <w:r>
        <w:rPr>
          <w:rFonts w:hint="eastAsia" w:ascii="宋体" w:hAnsi="宋体" w:cs="宋体"/>
          <w:color w:val="auto"/>
          <w:sz w:val="30"/>
          <w:szCs w:val="30"/>
          <w:highlight w:val="none"/>
        </w:rPr>
        <w:t>一天（不足一天超过12小时算一天）扣除质保金的</w:t>
      </w:r>
      <w:r>
        <w:rPr>
          <w:rFonts w:hint="eastAsia" w:ascii="宋体" w:hAnsi="宋体" w:cs="宋体"/>
          <w:b/>
          <w:bCs/>
          <w:color w:val="auto"/>
          <w:sz w:val="30"/>
          <w:szCs w:val="30"/>
          <w:highlight w:val="none"/>
        </w:rPr>
        <w:t>5%</w:t>
      </w:r>
      <w:r>
        <w:rPr>
          <w:rFonts w:hint="eastAsia" w:ascii="宋体" w:hAnsi="宋体" w:cs="宋体"/>
          <w:color w:val="auto"/>
          <w:sz w:val="30"/>
          <w:szCs w:val="30"/>
          <w:highlight w:val="none"/>
        </w:rPr>
        <w:t>，以此类推，在质保金不足全额的情况下，</w:t>
      </w:r>
      <w:r>
        <w:rPr>
          <w:rFonts w:hint="eastAsia"/>
          <w:color w:val="auto"/>
          <w:sz w:val="30"/>
          <w:szCs w:val="30"/>
          <w:highlight w:val="none"/>
        </w:rPr>
        <w:t>供应商</w:t>
      </w:r>
      <w:r>
        <w:rPr>
          <w:rFonts w:hint="eastAsia" w:ascii="宋体" w:hAnsi="宋体" w:cs="宋体"/>
          <w:color w:val="auto"/>
          <w:sz w:val="30"/>
          <w:szCs w:val="30"/>
          <w:highlight w:val="none"/>
        </w:rPr>
        <w:t>有义务补足合同约定的质保金。如果连续超过1个月，</w:t>
      </w:r>
      <w:r>
        <w:rPr>
          <w:rFonts w:hint="eastAsia"/>
          <w:color w:val="auto"/>
          <w:sz w:val="30"/>
          <w:szCs w:val="30"/>
          <w:highlight w:val="none"/>
        </w:rPr>
        <w:t>采购人</w:t>
      </w:r>
      <w:r>
        <w:rPr>
          <w:rFonts w:hint="eastAsia" w:ascii="宋体" w:hAnsi="宋体" w:cs="宋体"/>
          <w:color w:val="auto"/>
          <w:sz w:val="30"/>
          <w:szCs w:val="30"/>
          <w:highlight w:val="none"/>
        </w:rPr>
        <w:t>有权利终止合同且不支付任何费用。</w:t>
      </w:r>
    </w:p>
    <w:p>
      <w:pPr>
        <w:spacing w:line="360" w:lineRule="exact"/>
        <w:rPr>
          <w:rFonts w:asciiTheme="minorEastAsia" w:hAnsiTheme="minorEastAsia" w:eastAsiaTheme="minorEastAsia"/>
          <w:color w:val="auto"/>
          <w:sz w:val="24"/>
          <w:szCs w:val="24"/>
          <w:highlight w:val="yellow"/>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w:t>
      </w:r>
      <w:r>
        <w:rPr>
          <w:rFonts w:hint="eastAsia"/>
          <w:color w:val="auto"/>
          <w:kern w:val="2"/>
          <w:sz w:val="30"/>
          <w:szCs w:val="30"/>
        </w:rPr>
        <w:t>以人民币</w:t>
      </w:r>
      <w:r>
        <w:rPr>
          <w:rFonts w:hint="eastAsia"/>
          <w:kern w:val="2"/>
          <w:sz w:val="30"/>
          <w:szCs w:val="30"/>
        </w:rPr>
        <w:t>报价</w:t>
      </w:r>
      <w:r>
        <w:rPr>
          <w:rFonts w:hint="eastAsia"/>
          <w:color w:val="auto"/>
          <w:kern w:val="2"/>
          <w:sz w:val="30"/>
          <w:szCs w:val="30"/>
        </w:rPr>
        <w:t>，</w:t>
      </w:r>
      <w:r>
        <w:rPr>
          <w:rFonts w:hint="eastAsia"/>
          <w:color w:val="auto"/>
          <w:sz w:val="30"/>
          <w:szCs w:val="30"/>
          <w:highlight w:val="yellow"/>
        </w:rPr>
        <w:t>本项目以每台</w:t>
      </w:r>
      <w:r>
        <w:rPr>
          <w:rFonts w:hint="eastAsia"/>
          <w:bCs/>
          <w:color w:val="auto"/>
          <w:sz w:val="30"/>
          <w:szCs w:val="30"/>
          <w:highlight w:val="yellow"/>
        </w:rPr>
        <w:t>单价报价</w:t>
      </w:r>
      <w:r>
        <w:rPr>
          <w:rFonts w:hint="eastAsia"/>
          <w:sz w:val="30"/>
          <w:szCs w:val="30"/>
        </w:rPr>
        <w:t>，</w:t>
      </w:r>
      <w:r>
        <w:rPr>
          <w:rFonts w:hint="eastAsia"/>
          <w:kern w:val="2"/>
          <w:sz w:val="30"/>
          <w:szCs w:val="30"/>
        </w:rPr>
        <w:t>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4.2供应商要按报价表（统一格式）和分项报价表（统一格式）的内容填写产品单价及其他事项。</w:t>
      </w:r>
    </w:p>
    <w:p>
      <w:pPr>
        <w:pStyle w:val="16"/>
        <w:spacing w:before="0" w:beforeAutospacing="0" w:after="0" w:afterAutospacing="0" w:line="460" w:lineRule="exact"/>
        <w:ind w:firstLine="602" w:firstLineChars="200"/>
        <w:jc w:val="both"/>
        <w:rPr>
          <w:rFonts w:hint="eastAsia"/>
          <w:color w:val="FF0000"/>
          <w:sz w:val="30"/>
          <w:szCs w:val="30"/>
        </w:rPr>
      </w:pPr>
      <w:r>
        <w:rPr>
          <w:rFonts w:hint="eastAsia"/>
          <w:b/>
          <w:bCs/>
          <w:kern w:val="2"/>
          <w:sz w:val="30"/>
          <w:szCs w:val="30"/>
        </w:rPr>
        <w:t>4.3</w:t>
      </w:r>
      <w:r>
        <w:rPr>
          <w:rFonts w:hint="eastAsia"/>
          <w:color w:val="FF0000"/>
          <w:sz w:val="30"/>
          <w:szCs w:val="30"/>
          <w:highlight w:val="yellow"/>
        </w:rPr>
        <w:t>本项目固定金额270000元。</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376848255"/>
      <w:bookmarkStart w:id="16" w:name="_Toc445715221"/>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pStyle w:val="2"/>
        <w:spacing w:before="240" w:after="240"/>
        <w:jc w:val="center"/>
        <w:rPr>
          <w:b/>
          <w:sz w:val="32"/>
        </w:rPr>
      </w:pPr>
      <w:bookmarkStart w:id="21" w:name="_Toc533775678"/>
      <w:r>
        <w:rPr>
          <w:rFonts w:hint="eastAsia"/>
          <w:b/>
          <w:sz w:val="32"/>
        </w:rPr>
        <w:t>赣州市人民医院**服务合同</w:t>
      </w:r>
    </w:p>
    <w:p/>
    <w:p>
      <w:pPr>
        <w:tabs>
          <w:tab w:val="left" w:pos="4620"/>
        </w:tabs>
        <w:spacing w:line="440" w:lineRule="exact"/>
        <w:ind w:firstLine="560" w:firstLineChars="200"/>
        <w:jc w:val="left"/>
        <w:rPr>
          <w:rFonts w:ascii="仿宋" w:hAnsi="仿宋" w:eastAsia="仿宋" w:cs="FangSong_GB2312"/>
          <w:sz w:val="28"/>
          <w:szCs w:val="28"/>
        </w:rPr>
      </w:pPr>
      <w:r>
        <w:rPr>
          <w:rFonts w:hint="eastAsia" w:ascii="仿宋" w:hAnsi="仿宋" w:eastAsia="仿宋" w:cs="FangSong_GB2312"/>
          <w:sz w:val="28"/>
          <w:szCs w:val="28"/>
        </w:rPr>
        <w:t>甲方：赣州市人民医院</w:t>
      </w:r>
    </w:p>
    <w:p>
      <w:pPr>
        <w:tabs>
          <w:tab w:val="left" w:pos="4620"/>
        </w:tabs>
        <w:spacing w:line="440" w:lineRule="exact"/>
        <w:ind w:firstLine="560" w:firstLineChars="200"/>
        <w:jc w:val="left"/>
        <w:rPr>
          <w:rFonts w:ascii="仿宋" w:hAnsi="仿宋" w:eastAsia="仿宋" w:cs="FangSong_GB2312"/>
          <w:sz w:val="28"/>
          <w:szCs w:val="28"/>
        </w:rPr>
      </w:pPr>
      <w:r>
        <w:rPr>
          <w:rFonts w:hint="eastAsia" w:ascii="仿宋" w:hAnsi="仿宋" w:eastAsia="仿宋" w:cs="FangSong_GB2312"/>
          <w:sz w:val="28"/>
          <w:szCs w:val="28"/>
        </w:rPr>
        <w:t>乙方：***有限公司</w:t>
      </w:r>
    </w:p>
    <w:p>
      <w:pPr>
        <w:tabs>
          <w:tab w:val="left" w:pos="4620"/>
        </w:tabs>
        <w:spacing w:line="440" w:lineRule="exact"/>
        <w:ind w:firstLine="560" w:firstLineChars="200"/>
        <w:jc w:val="left"/>
        <w:rPr>
          <w:rFonts w:ascii="仿宋" w:hAnsi="仿宋" w:eastAsia="仿宋" w:cs="FangSong_GB2312"/>
          <w:sz w:val="28"/>
          <w:szCs w:val="28"/>
        </w:rPr>
      </w:pPr>
    </w:p>
    <w:p>
      <w:pPr>
        <w:keepNext w:val="0"/>
        <w:keepLines w:val="0"/>
        <w:pageBreakBefore w:val="0"/>
        <w:tabs>
          <w:tab w:val="left" w:pos="4620"/>
        </w:tabs>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甲、乙双方根据项目编号:******的成交结果和招标（竞谈）文件的要求，并经双方协商一致，同意按下述条件签订本合同。</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1、合同文件的组成（以下内容是组成本合同文件不可分割的部分）</w:t>
      </w:r>
    </w:p>
    <w:p>
      <w:pPr>
        <w:keepNext w:val="0"/>
        <w:keepLines w:val="0"/>
        <w:pageBreakBefore w:val="0"/>
        <w:widowControl/>
        <w:kinsoku/>
        <w:wordWrap/>
        <w:overflowPunct/>
        <w:topLinePunct w:val="0"/>
        <w:autoSpaceDE/>
        <w:autoSpaceDN/>
        <w:bidi w:val="0"/>
        <w:adjustRightInd/>
        <w:snapToGrid/>
        <w:spacing w:line="440" w:lineRule="exact"/>
        <w:ind w:left="0" w:leftChars="0"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（1）本合同；</w:t>
      </w:r>
    </w:p>
    <w:p>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（2）中标通知书；</w:t>
      </w:r>
    </w:p>
    <w:p>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（3）招标（竞谈）文件（含采购过程补充通知、答疑回复、变更等）；</w:t>
      </w:r>
    </w:p>
    <w:p>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（4）响应文件。</w:t>
      </w:r>
    </w:p>
    <w:p>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注：若上述文件就某一事项意思表达不一致，则按以下顺序进行解释，合同优于中标通知书，中标通知书优于响应文件，响应文件优于招标（竞谈）文件。</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2、合同范围和条件：本合同的范围和条件应与上述合同文件的规定一致。</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3、服务内容及要求：</w:t>
      </w:r>
    </w:p>
    <w:tbl>
      <w:tblPr>
        <w:tblStyle w:val="18"/>
        <w:tblW w:w="8477"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567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b/>
                <w:sz w:val="28"/>
                <w:szCs w:val="28"/>
              </w:rPr>
            </w:pPr>
            <w:r>
              <w:rPr>
                <w:rFonts w:hint="eastAsia" w:ascii="仿宋" w:hAnsi="仿宋" w:eastAsia="仿宋" w:cs="仿宋"/>
                <w:b/>
                <w:sz w:val="28"/>
                <w:szCs w:val="28"/>
              </w:rPr>
              <w:t>项目名称</w:t>
            </w:r>
          </w:p>
        </w:tc>
        <w:tc>
          <w:tcPr>
            <w:tcW w:w="5670" w:type="dxa"/>
            <w:noWrap/>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rPr>
                <w:rFonts w:hint="eastAsia" w:ascii="仿宋" w:hAnsi="仿宋" w:eastAsia="仿宋" w:cs="仿宋"/>
                <w:b/>
                <w:sz w:val="28"/>
                <w:szCs w:val="28"/>
              </w:rPr>
            </w:pPr>
            <w:r>
              <w:rPr>
                <w:rFonts w:hint="eastAsia" w:ascii="仿宋" w:hAnsi="仿宋" w:eastAsia="仿宋" w:cs="仿宋"/>
                <w:b/>
                <w:sz w:val="28"/>
                <w:szCs w:val="28"/>
              </w:rPr>
              <w:t>主要服务要求</w:t>
            </w:r>
          </w:p>
        </w:tc>
        <w:tc>
          <w:tcPr>
            <w:tcW w:w="1418" w:type="dxa"/>
            <w:noWrap/>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rPr>
                <w:rFonts w:hint="eastAsia" w:ascii="仿宋" w:hAnsi="仿宋" w:eastAsia="仿宋" w:cs="仿宋"/>
                <w:b/>
                <w:sz w:val="28"/>
                <w:szCs w:val="28"/>
              </w:rPr>
            </w:pPr>
            <w:r>
              <w:rPr>
                <w:rFonts w:hint="eastAsia" w:ascii="仿宋" w:hAnsi="仿宋" w:eastAsia="仿宋" w:cs="仿宋"/>
                <w:b/>
                <w:sz w:val="28"/>
                <w:szCs w:val="28"/>
              </w:rPr>
              <w:t>总金额（**年）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389" w:type="dxa"/>
            <w:noWrap/>
            <w:vAlign w:val="center"/>
          </w:tcPr>
          <w:p>
            <w:pPr>
              <w:keepNext w:val="0"/>
              <w:keepLines w:val="0"/>
              <w:pageBreakBefore w:val="0"/>
              <w:kinsoku/>
              <w:wordWrap/>
              <w:overflowPunct/>
              <w:topLinePunct w:val="0"/>
              <w:autoSpaceDE/>
              <w:autoSpaceDN/>
              <w:bidi w:val="0"/>
              <w:adjustRightInd/>
              <w:snapToGrid/>
              <w:spacing w:line="440" w:lineRule="exact"/>
              <w:ind w:left="0" w:leftChars="0"/>
              <w:jc w:val="center"/>
              <w:textAlignment w:val="auto"/>
              <w:rPr>
                <w:rFonts w:hint="eastAsia" w:ascii="仿宋" w:hAnsi="仿宋" w:eastAsia="仿宋" w:cs="仿宋"/>
                <w:sz w:val="28"/>
                <w:szCs w:val="28"/>
              </w:rPr>
            </w:pPr>
          </w:p>
        </w:tc>
        <w:tc>
          <w:tcPr>
            <w:tcW w:w="5670"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sz w:val="28"/>
                <w:szCs w:val="28"/>
              </w:rPr>
            </w:pPr>
          </w:p>
        </w:tc>
        <w:tc>
          <w:tcPr>
            <w:tcW w:w="1418" w:type="dxa"/>
            <w:noWrap/>
            <w:vAlign w:val="center"/>
          </w:tcPr>
          <w:p>
            <w:pPr>
              <w:keepNext w:val="0"/>
              <w:keepLines w:val="0"/>
              <w:pageBreakBefore w:val="0"/>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40" w:lineRule="exact"/>
              <w:ind w:left="0" w:leftChars="0"/>
              <w:jc w:val="left"/>
              <w:textAlignment w:val="auto"/>
              <w:rPr>
                <w:rFonts w:hint="eastAsia" w:ascii="仿宋" w:hAnsi="仿宋" w:eastAsia="仿宋" w:cs="仿宋"/>
                <w:sz w:val="28"/>
                <w:szCs w:val="28"/>
              </w:rPr>
            </w:pPr>
            <w:r>
              <w:rPr>
                <w:rFonts w:hint="eastAsia" w:ascii="仿宋" w:hAnsi="仿宋" w:eastAsia="仿宋" w:cs="仿宋"/>
                <w:sz w:val="28"/>
                <w:szCs w:val="28"/>
              </w:rPr>
              <w:t>元</w:t>
            </w:r>
          </w:p>
        </w:tc>
      </w:tr>
    </w:tbl>
    <w:p>
      <w:pPr>
        <w:keepNext w:val="0"/>
        <w:keepLines w:val="0"/>
        <w:pageBreakBefore w:val="0"/>
        <w:widowControl/>
        <w:kinsoku/>
        <w:wordWrap/>
        <w:overflowPunct/>
        <w:topLinePunct w:val="0"/>
        <w:autoSpaceDE/>
        <w:autoSpaceDN/>
        <w:bidi w:val="0"/>
        <w:adjustRightInd/>
        <w:snapToGrid/>
        <w:spacing w:line="440" w:lineRule="exact"/>
        <w:ind w:left="560" w:leftChars="0" w:hanging="560" w:hangingChars="200"/>
        <w:jc w:val="left"/>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rPr>
        <w:t>4、合同</w:t>
      </w:r>
      <w:r>
        <w:rPr>
          <w:rFonts w:hint="eastAsia" w:ascii="仿宋" w:hAnsi="仿宋" w:eastAsia="仿宋" w:cs="仿宋"/>
          <w:color w:val="auto"/>
          <w:sz w:val="28"/>
          <w:szCs w:val="28"/>
          <w:highlight w:val="none"/>
        </w:rPr>
        <w:t>总金额为人民币</w:t>
      </w:r>
      <w:r>
        <w:rPr>
          <w:rFonts w:hint="eastAsia" w:ascii="仿宋" w:hAnsi="仿宋" w:eastAsia="仿宋" w:cs="仿宋"/>
          <w:b/>
          <w:bCs/>
          <w:color w:val="auto"/>
          <w:sz w:val="28"/>
          <w:szCs w:val="28"/>
          <w:highlight w:val="none"/>
          <w:u w:val="single"/>
        </w:rPr>
        <w:t>****元整</w:t>
      </w:r>
      <w:r>
        <w:rPr>
          <w:rFonts w:hint="eastAsia" w:ascii="仿宋" w:hAnsi="仿宋" w:eastAsia="仿宋" w:cs="仿宋"/>
          <w:b/>
          <w:bCs/>
          <w:color w:val="auto"/>
          <w:sz w:val="28"/>
          <w:szCs w:val="28"/>
          <w:highlight w:val="none"/>
        </w:rPr>
        <w:t>（￥：000元）。</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5、付款方式：</w:t>
      </w:r>
      <w:r>
        <w:rPr>
          <w:rFonts w:hint="eastAsia" w:ascii="仿宋" w:hAnsi="仿宋" w:eastAsia="仿宋" w:cs="仿宋"/>
          <w:color w:val="auto"/>
          <w:kern w:val="2"/>
          <w:sz w:val="28"/>
          <w:szCs w:val="28"/>
          <w:highlight w:val="none"/>
        </w:rPr>
        <w:t>费用按月统计、按季度结算支付，每季度根据实际使用数量结算，经采购人核定租赁数量、服务时间、服务质量后，供应商开具相应金额的合法税票，采购人收到合法税票后两个月内以转账方式支付相应款项，依此类推，不计利息。</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6、服务期限、地点： </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6.1服务期限：20**年*月*日至20**年*月*日</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6.2服务地点：赣州市人民医院。</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违约责任：</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如果乙方没有按照合同规定的时间提供服务，甲方可从总金额中扣除违约赔偿费，赔偿费应按每迟交一天，按合同总价的2‰计收，不足1天超过12小时按一天计算。但违约赔偿费的最高限额为合同总价的10%。如果乙方在达到最高限额后仍不能提供服务，甲方可以单方面终止合同，没收履约保证金，并要求乙方赔偿甲方损失。</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7.2如果设备发生故障，除不可抗力因素外，乙方须在响应文件中承诺的时间内到达甲方处提供维修服务，“实际达到时间”每超过“承诺应到时间”一天（不足一天超过12小时算一天）扣除质保金的</w:t>
      </w:r>
      <w:r>
        <w:rPr>
          <w:rFonts w:hint="eastAsia" w:ascii="仿宋" w:hAnsi="仿宋" w:eastAsia="仿宋" w:cs="仿宋"/>
          <w:b/>
          <w:bCs/>
          <w:color w:val="auto"/>
          <w:sz w:val="28"/>
          <w:szCs w:val="28"/>
          <w:highlight w:val="none"/>
        </w:rPr>
        <w:t>5%</w:t>
      </w:r>
      <w:r>
        <w:rPr>
          <w:rFonts w:hint="eastAsia" w:ascii="仿宋" w:hAnsi="仿宋" w:eastAsia="仿宋" w:cs="仿宋"/>
          <w:color w:val="auto"/>
          <w:sz w:val="28"/>
          <w:szCs w:val="28"/>
          <w:highlight w:val="none"/>
        </w:rPr>
        <w:t>，以此类推，在质保金不足全额的情况下，乙方有义务补足合同约定的质保金。如果连续超过1个月，甲方有权利终止合同且不支付任何费用。</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乙方提供符合本协议约定和行业通行的专业化服务标准，不符合要求的，乙方应立即更换人员或改进方法，直至达到约定的服务标准。乙方调整相关服务产生的风险和费用将由乙方承担，导致延期提供服务的，按照第7.1条处理。</w:t>
      </w:r>
    </w:p>
    <w:p>
      <w:pPr>
        <w:keepNext w:val="0"/>
        <w:keepLines w:val="0"/>
        <w:pageBreakBefore w:val="0"/>
        <w:widowControl/>
        <w:kinsoku/>
        <w:wordWrap/>
        <w:overflowPunct/>
        <w:topLinePunct w:val="0"/>
        <w:autoSpaceDE/>
        <w:autoSpaceDN/>
        <w:bidi w:val="0"/>
        <w:adjustRightInd/>
        <w:snapToGrid/>
        <w:spacing w:line="440" w:lineRule="exact"/>
        <w:ind w:left="0" w:leftChars="0" w:firstLine="57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8、考核条款：</w:t>
      </w:r>
    </w:p>
    <w:p>
      <w:pPr>
        <w:keepNext w:val="0"/>
        <w:keepLines w:val="0"/>
        <w:pageBreakBefore w:val="0"/>
        <w:widowControl/>
        <w:kinsoku/>
        <w:wordWrap/>
        <w:overflowPunct/>
        <w:topLinePunct w:val="0"/>
        <w:autoSpaceDE/>
        <w:autoSpaceDN/>
        <w:bidi w:val="0"/>
        <w:adjustRightInd/>
        <w:snapToGrid/>
        <w:spacing w:line="440" w:lineRule="exact"/>
        <w:ind w:left="0" w:leftChars="0" w:firstLine="57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甲方不定期对乙方的服务情况进行考核。</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9、其他约定：</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乙方按合同金额的10%标准向甲方缴纳本项目的履约保证金，服务期结束时无质量及服务问题一次性不计息退还，如有违约，按照合同约定处理。</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10、合同生效：本合同在甲方收取乙方提交的履约保证金，且经甲、乙双方签字盖章后生效。</w:t>
      </w:r>
    </w:p>
    <w:p>
      <w:pPr>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000000" w:themeColor="text1"/>
          <w:sz w:val="28"/>
          <w:szCs w:val="28"/>
        </w:rPr>
      </w:pPr>
      <w:r>
        <w:rPr>
          <w:rFonts w:hint="eastAsia" w:ascii="仿宋" w:hAnsi="仿宋" w:eastAsia="仿宋" w:cs="仿宋"/>
          <w:color w:val="auto"/>
          <w:sz w:val="28"/>
          <w:szCs w:val="28"/>
          <w:highlight w:val="none"/>
        </w:rPr>
        <w:t>11、本合同一式陆份，以中文书写。甲方叁份、</w:t>
      </w:r>
      <w:r>
        <w:rPr>
          <w:rFonts w:hint="eastAsia" w:ascii="仿宋" w:hAnsi="仿宋" w:eastAsia="仿宋" w:cs="仿宋"/>
          <w:color w:val="auto"/>
          <w:sz w:val="28"/>
          <w:szCs w:val="28"/>
          <w:highlight w:val="none"/>
          <w:u w:val="single"/>
        </w:rPr>
        <w:t>乙</w:t>
      </w:r>
      <w:r>
        <w:rPr>
          <w:rFonts w:hint="eastAsia" w:ascii="仿宋" w:hAnsi="仿宋" w:eastAsia="仿宋" w:cs="仿宋"/>
          <w:color w:val="000000" w:themeColor="text1"/>
          <w:sz w:val="28"/>
          <w:szCs w:val="28"/>
          <w:highlight w:val="yellow"/>
          <w:u w:val="single"/>
        </w:rPr>
        <w:t>方</w:t>
      </w:r>
      <w:r>
        <w:rPr>
          <w:rFonts w:hint="eastAsia" w:ascii="仿宋" w:hAnsi="仿宋" w:eastAsia="仿宋" w:cs="仿宋"/>
          <w:color w:val="000000" w:themeColor="text1"/>
          <w:sz w:val="28"/>
          <w:szCs w:val="28"/>
        </w:rPr>
        <w:t>各执叁份，具有同等法律效力。</w:t>
      </w:r>
    </w:p>
    <w:p>
      <w:pPr>
        <w:keepNext w:val="0"/>
        <w:keepLines w:val="0"/>
        <w:pageBreakBefore w:val="0"/>
        <w:widowControl/>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12、本协议未尽事宜甲乙双方协商解决，协商不成可向甲方所在地的人民法院诉讼。</w:t>
      </w:r>
    </w:p>
    <w:p>
      <w:pPr>
        <w:keepNext w:val="0"/>
        <w:keepLines w:val="0"/>
        <w:pageBreakBefore w:val="0"/>
        <w:widowControl/>
        <w:kinsoku/>
        <w:wordWrap/>
        <w:overflowPunct/>
        <w:topLinePunct w:val="0"/>
        <w:autoSpaceDE/>
        <w:autoSpaceDN/>
        <w:bidi w:val="0"/>
        <w:adjustRightInd/>
        <w:snapToGrid/>
        <w:spacing w:line="440" w:lineRule="exact"/>
        <w:ind w:left="6160" w:leftChars="0" w:hanging="6160" w:hangingChars="2200"/>
        <w:jc w:val="left"/>
        <w:textAlignment w:val="auto"/>
        <w:rPr>
          <w:rFonts w:hint="eastAsia" w:ascii="仿宋" w:hAnsi="仿宋" w:eastAsia="仿宋" w:cs="仿宋"/>
          <w:sz w:val="28"/>
          <w:szCs w:val="28"/>
        </w:rPr>
      </w:pPr>
    </w:p>
    <w:p>
      <w:pPr>
        <w:pStyle w:val="6"/>
      </w:pPr>
    </w:p>
    <w:p>
      <w:pPr>
        <w:widowControl/>
        <w:tabs>
          <w:tab w:val="left" w:pos="6100"/>
        </w:tabs>
        <w:spacing w:line="480" w:lineRule="auto"/>
        <w:ind w:left="5891" w:hanging="5891" w:hangingChars="2104"/>
        <w:jc w:val="left"/>
        <w:rPr>
          <w:rFonts w:ascii="FangSong_GB2312" w:hAnsi="FangSong_GB2312" w:eastAsia="FangSong_GB2312" w:cs="FangSong_GB2312"/>
          <w:b/>
          <w:sz w:val="28"/>
          <w:szCs w:val="28"/>
        </w:rPr>
      </w:pPr>
      <w:r>
        <w:rPr>
          <w:rFonts w:hint="eastAsia" w:ascii="FangSong_GB2312" w:hAnsi="FangSong_GB2312" w:eastAsia="FangSong_GB2312" w:cs="FangSong_GB2312"/>
          <w:sz w:val="28"/>
          <w:szCs w:val="28"/>
        </w:rPr>
        <w:t>甲方（盖章）：赣州市人民医院  乙方（盖章）：</w:t>
      </w:r>
    </w:p>
    <w:p>
      <w:pPr>
        <w:widowControl/>
        <w:spacing w:line="480" w:lineRule="auto"/>
        <w:ind w:left="6160" w:hanging="6160" w:hangingChars="2200"/>
        <w:jc w:val="left"/>
        <w:rPr>
          <w:rFonts w:ascii="FangSong_GB2312" w:hAnsi="FangSong_GB2312" w:eastAsia="FangSong_GB2312" w:cs="FangSong_GB2312"/>
          <w:sz w:val="28"/>
          <w:szCs w:val="28"/>
        </w:rPr>
      </w:pPr>
    </w:p>
    <w:p>
      <w:pPr>
        <w:widowControl/>
        <w:spacing w:line="480" w:lineRule="auto"/>
        <w:ind w:left="4620" w:hanging="4620" w:hangingChars="16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法人授权代表签字 ：          法定代表人</w:t>
      </w:r>
    </w:p>
    <w:p>
      <w:pPr>
        <w:widowControl/>
        <w:spacing w:line="480" w:lineRule="auto"/>
        <w:ind w:left="4621" w:leftChars="1867" w:hanging="700" w:hangingChars="2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（或法人授权代表）签字</w:t>
      </w:r>
      <w:r>
        <w:rPr>
          <w:rFonts w:hint="eastAsia" w:ascii="FangSong_GB2312" w:hAnsi="FangSong_GB2312" w:eastAsia="FangSong_GB2312" w:cs="FangSong_GB2312"/>
          <w:sz w:val="24"/>
          <w:szCs w:val="28"/>
        </w:rPr>
        <w:t>：</w:t>
      </w:r>
    </w:p>
    <w:p>
      <w:pPr>
        <w:widowControl/>
        <w:spacing w:line="480" w:lineRule="auto"/>
        <w:ind w:left="5460" w:hanging="5460" w:hangingChars="19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甲方纳税人识别号：           乙方开户行： </w:t>
      </w:r>
    </w:p>
    <w:p>
      <w:pPr>
        <w:rPr>
          <w:rFonts w:ascii="FangSong_GB2312" w:hAnsi="FangSong_GB2312" w:eastAsia="FangSong_GB2312" w:cs="FangSong_GB2312"/>
          <w:sz w:val="28"/>
          <w:szCs w:val="28"/>
        </w:rPr>
      </w:pPr>
      <w:r>
        <w:rPr>
          <w:rFonts w:ascii="FangSong_GB2312" w:hAnsi="FangSong_GB2312" w:eastAsia="FangSong_GB2312" w:cs="FangSong_GB2312"/>
          <w:sz w:val="28"/>
          <w:szCs w:val="28"/>
        </w:rPr>
        <w:t>123607004917506816</w:t>
      </w:r>
      <w:r>
        <w:rPr>
          <w:rFonts w:hint="eastAsia" w:ascii="FangSong_GB2312" w:hAnsi="FangSong_GB2312" w:eastAsia="FangSong_GB2312" w:cs="FangSong_GB2312"/>
          <w:sz w:val="28"/>
          <w:szCs w:val="28"/>
        </w:rPr>
        <w:t xml:space="preserve">           账号：</w:t>
      </w:r>
    </w:p>
    <w:p>
      <w:pPr>
        <w:widowControl/>
        <w:jc w:val="left"/>
      </w:pPr>
      <w:r>
        <w:rPr>
          <w:rFonts w:hint="eastAsia" w:ascii="FangSong_GB2312" w:hAnsi="FangSong_GB2312" w:eastAsia="FangSong_GB2312" w:cs="FangSong_GB2312"/>
          <w:sz w:val="28"/>
          <w:szCs w:val="28"/>
        </w:rPr>
        <w:t>签字日期：    年  月  日     签字日期：    年  月  日</w:t>
      </w:r>
      <w:r>
        <w:rPr>
          <w:rFonts w:hint="eastAsia" w:ascii="FangSong_GB2312" w:hAnsi="FangSong_GB2312" w:eastAsia="FangSong_GB2312" w:cs="FangSong_GB2312"/>
          <w:sz w:val="28"/>
          <w:szCs w:val="28"/>
        </w:rPr>
        <w:br w:type="page"/>
      </w: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cols w:space="720" w:num="1"/>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所附报价表中规定的应提交和交付的货物价格为（用文字和数字表示的总价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30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1436"/>
        <w:gridCol w:w="2242"/>
        <w:gridCol w:w="1920"/>
        <w:gridCol w:w="1320"/>
        <w:gridCol w:w="1140"/>
        <w:gridCol w:w="17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22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tc>
        <w:tc>
          <w:tcPr>
            <w:tcW w:w="1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13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14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172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2242" w:type="dxa"/>
            <w:vAlign w:val="center"/>
          </w:tcPr>
          <w:p>
            <w:pPr>
              <w:spacing w:line="440" w:lineRule="atLeast"/>
              <w:jc w:val="center"/>
              <w:rPr>
                <w:rFonts w:asciiTheme="minorEastAsia" w:hAnsiTheme="minorEastAsia" w:eastAsiaTheme="minorEastAsia"/>
                <w:sz w:val="24"/>
                <w:szCs w:val="24"/>
              </w:rPr>
            </w:pPr>
          </w:p>
        </w:tc>
        <w:tc>
          <w:tcPr>
            <w:tcW w:w="1920" w:type="dxa"/>
            <w:vAlign w:val="center"/>
          </w:tcPr>
          <w:p>
            <w:pPr>
              <w:spacing w:line="440" w:lineRule="atLeast"/>
              <w:jc w:val="center"/>
              <w:rPr>
                <w:rFonts w:asciiTheme="minorEastAsia" w:hAnsiTheme="minorEastAsia" w:eastAsiaTheme="minorEastAsia"/>
                <w:sz w:val="24"/>
                <w:szCs w:val="24"/>
              </w:rPr>
            </w:pPr>
          </w:p>
        </w:tc>
        <w:tc>
          <w:tcPr>
            <w:tcW w:w="1320" w:type="dxa"/>
            <w:vAlign w:val="center"/>
          </w:tcPr>
          <w:p>
            <w:pPr>
              <w:spacing w:line="440" w:lineRule="atLeast"/>
              <w:jc w:val="center"/>
              <w:rPr>
                <w:rFonts w:asciiTheme="minorEastAsia" w:hAnsiTheme="minorEastAsia" w:eastAsiaTheme="minorEastAsia"/>
                <w:sz w:val="24"/>
                <w:szCs w:val="24"/>
              </w:rPr>
            </w:pPr>
          </w:p>
        </w:tc>
        <w:tc>
          <w:tcPr>
            <w:tcW w:w="1140" w:type="dxa"/>
            <w:vAlign w:val="center"/>
          </w:tcPr>
          <w:p>
            <w:pPr>
              <w:spacing w:line="440" w:lineRule="atLeast"/>
              <w:jc w:val="center"/>
              <w:rPr>
                <w:rFonts w:asciiTheme="minorEastAsia" w:hAnsiTheme="minorEastAsia" w:eastAsiaTheme="minorEastAsia"/>
                <w:sz w:val="24"/>
                <w:szCs w:val="24"/>
              </w:rPr>
            </w:pPr>
          </w:p>
        </w:tc>
        <w:tc>
          <w:tcPr>
            <w:tcW w:w="1725"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ind w:firstLine="1080" w:firstLineChars="4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2556" w:type="dxa"/>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2386"/>
        <w:gridCol w:w="1290"/>
        <w:gridCol w:w="163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238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6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26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2386" w:type="dxa"/>
          </w:tcPr>
          <w:p>
            <w:pPr>
              <w:spacing w:line="440" w:lineRule="atLeast"/>
              <w:rPr>
                <w:rFonts w:asciiTheme="minorEastAsia" w:hAnsiTheme="minorEastAsia" w:eastAsiaTheme="minorEastAsia"/>
                <w:sz w:val="24"/>
                <w:szCs w:val="24"/>
              </w:rPr>
            </w:pPr>
          </w:p>
        </w:tc>
        <w:tc>
          <w:tcPr>
            <w:tcW w:w="1290" w:type="dxa"/>
          </w:tcPr>
          <w:p>
            <w:pPr>
              <w:spacing w:line="440" w:lineRule="atLeast"/>
              <w:rPr>
                <w:rFonts w:asciiTheme="minorEastAsia" w:hAnsiTheme="minorEastAsia" w:eastAsiaTheme="minorEastAsia"/>
                <w:sz w:val="24"/>
                <w:szCs w:val="24"/>
              </w:rPr>
            </w:pPr>
          </w:p>
        </w:tc>
        <w:tc>
          <w:tcPr>
            <w:tcW w:w="1635" w:type="dxa"/>
          </w:tcPr>
          <w:p>
            <w:pPr>
              <w:spacing w:line="440" w:lineRule="atLeast"/>
              <w:jc w:val="center"/>
              <w:rPr>
                <w:rFonts w:asciiTheme="minorEastAsia" w:hAnsiTheme="minorEastAsia" w:eastAsiaTheme="minorEastAsia"/>
                <w:sz w:val="24"/>
                <w:szCs w:val="24"/>
              </w:rPr>
            </w:pPr>
          </w:p>
        </w:tc>
        <w:tc>
          <w:tcPr>
            <w:tcW w:w="267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2386" w:type="dxa"/>
          </w:tcPr>
          <w:p>
            <w:pPr>
              <w:spacing w:line="440" w:lineRule="atLeast"/>
              <w:rPr>
                <w:rFonts w:asciiTheme="minorEastAsia" w:hAnsiTheme="minorEastAsia" w:eastAsiaTheme="minorEastAsia"/>
                <w:sz w:val="24"/>
                <w:szCs w:val="24"/>
              </w:rPr>
            </w:pPr>
          </w:p>
        </w:tc>
        <w:tc>
          <w:tcPr>
            <w:tcW w:w="1290" w:type="dxa"/>
          </w:tcPr>
          <w:p>
            <w:pPr>
              <w:spacing w:line="440" w:lineRule="atLeast"/>
              <w:rPr>
                <w:rFonts w:asciiTheme="minorEastAsia" w:hAnsiTheme="minorEastAsia" w:eastAsiaTheme="minorEastAsia"/>
                <w:sz w:val="24"/>
                <w:szCs w:val="24"/>
              </w:rPr>
            </w:pPr>
          </w:p>
        </w:tc>
        <w:tc>
          <w:tcPr>
            <w:tcW w:w="1635" w:type="dxa"/>
          </w:tcPr>
          <w:p>
            <w:pPr>
              <w:spacing w:line="440" w:lineRule="atLeast"/>
              <w:jc w:val="center"/>
              <w:rPr>
                <w:rFonts w:asciiTheme="minorEastAsia" w:hAnsiTheme="minorEastAsia" w:eastAsiaTheme="minorEastAsia"/>
                <w:sz w:val="24"/>
                <w:szCs w:val="24"/>
              </w:rPr>
            </w:pPr>
          </w:p>
        </w:tc>
        <w:tc>
          <w:tcPr>
            <w:tcW w:w="267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2386" w:type="dxa"/>
          </w:tcPr>
          <w:p>
            <w:pPr>
              <w:spacing w:line="440" w:lineRule="atLeast"/>
              <w:rPr>
                <w:rFonts w:asciiTheme="minorEastAsia" w:hAnsiTheme="minorEastAsia" w:eastAsiaTheme="minorEastAsia"/>
                <w:sz w:val="24"/>
                <w:szCs w:val="24"/>
              </w:rPr>
            </w:pPr>
          </w:p>
        </w:tc>
        <w:tc>
          <w:tcPr>
            <w:tcW w:w="1290" w:type="dxa"/>
          </w:tcPr>
          <w:p>
            <w:pPr>
              <w:spacing w:line="440" w:lineRule="atLeast"/>
              <w:rPr>
                <w:rFonts w:asciiTheme="minorEastAsia" w:hAnsiTheme="minorEastAsia" w:eastAsiaTheme="minorEastAsia"/>
                <w:sz w:val="24"/>
                <w:szCs w:val="24"/>
              </w:rPr>
            </w:pPr>
          </w:p>
        </w:tc>
        <w:tc>
          <w:tcPr>
            <w:tcW w:w="1635" w:type="dxa"/>
          </w:tcPr>
          <w:p>
            <w:pPr>
              <w:spacing w:line="440" w:lineRule="atLeast"/>
              <w:jc w:val="center"/>
              <w:rPr>
                <w:rFonts w:asciiTheme="minorEastAsia" w:hAnsiTheme="minorEastAsia" w:eastAsiaTheme="minorEastAsia"/>
                <w:sz w:val="24"/>
                <w:szCs w:val="24"/>
              </w:rPr>
            </w:pPr>
          </w:p>
        </w:tc>
        <w:tc>
          <w:tcPr>
            <w:tcW w:w="2670" w:type="dxa"/>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ind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ind w:firstLine="1200" w:firstLineChars="500"/>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9477458"/>
      <w:bookmarkStart w:id="37" w:name="_Toc495487764"/>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33" o:spid="_x0000_s103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5</w:t>
                </w:r>
                <w:r>
                  <w:rPr>
                    <w:rStyle w:val="21"/>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pict>
        <v:shape id="_x0000_s1027" o:spid="_x0000_s102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30</w:t>
                </w:r>
                <w:r>
                  <w:rPr>
                    <w:rStyle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sdt>
      <w:sdtPr>
        <w:id w:val="10841087"/>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31" o:spid="_x0000_s103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17</w:t>
                </w:r>
                <w:r>
                  <w:rPr>
                    <w:rStyle w:val="21"/>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30" o:spid="_x0000_s103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18</w:t>
                </w:r>
                <w:r>
                  <w:rPr>
                    <w:rStyle w:val="21"/>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20</w:t>
                </w:r>
                <w:r>
                  <w:rPr>
                    <w:rStyle w:val="21"/>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shape id="_x0000_s1028" o:spid="_x0000_s102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25</w:t>
                </w:r>
                <w:r>
                  <w:rPr>
                    <w:rStyle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0A5"/>
    <w:multiLevelType w:val="singleLevel"/>
    <w:tmpl w:val="0B7070A5"/>
    <w:lvl w:ilvl="0" w:tentative="0">
      <w:start w:val="7"/>
      <w:numFmt w:val="decimal"/>
      <w:suff w:val="nothing"/>
      <w:lvlText w:val="%1、"/>
      <w:lvlJc w:val="left"/>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13AD6"/>
    <w:rsid w:val="00062EC7"/>
    <w:rsid w:val="0008464A"/>
    <w:rsid w:val="000B0F07"/>
    <w:rsid w:val="000E59B1"/>
    <w:rsid w:val="0016252E"/>
    <w:rsid w:val="00195F02"/>
    <w:rsid w:val="001A3D97"/>
    <w:rsid w:val="001D45E0"/>
    <w:rsid w:val="001F265F"/>
    <w:rsid w:val="001F6F82"/>
    <w:rsid w:val="00241EC0"/>
    <w:rsid w:val="00243259"/>
    <w:rsid w:val="002823A6"/>
    <w:rsid w:val="0029334A"/>
    <w:rsid w:val="002F0C52"/>
    <w:rsid w:val="00320237"/>
    <w:rsid w:val="00354409"/>
    <w:rsid w:val="0037103C"/>
    <w:rsid w:val="003C3981"/>
    <w:rsid w:val="003D7CBF"/>
    <w:rsid w:val="00470E9F"/>
    <w:rsid w:val="004F57EE"/>
    <w:rsid w:val="00595898"/>
    <w:rsid w:val="005970B0"/>
    <w:rsid w:val="005A1707"/>
    <w:rsid w:val="005C1514"/>
    <w:rsid w:val="00606F17"/>
    <w:rsid w:val="0068322F"/>
    <w:rsid w:val="006A6165"/>
    <w:rsid w:val="006B2115"/>
    <w:rsid w:val="006D07BC"/>
    <w:rsid w:val="007054CD"/>
    <w:rsid w:val="00713E3E"/>
    <w:rsid w:val="00752F61"/>
    <w:rsid w:val="00797CD9"/>
    <w:rsid w:val="007C3572"/>
    <w:rsid w:val="007E3127"/>
    <w:rsid w:val="007F33BD"/>
    <w:rsid w:val="008503B4"/>
    <w:rsid w:val="00887C6A"/>
    <w:rsid w:val="008C31FC"/>
    <w:rsid w:val="008C3ADA"/>
    <w:rsid w:val="008F120E"/>
    <w:rsid w:val="00946E9E"/>
    <w:rsid w:val="00A2769E"/>
    <w:rsid w:val="00A574FA"/>
    <w:rsid w:val="00AF5277"/>
    <w:rsid w:val="00B1204C"/>
    <w:rsid w:val="00B31A76"/>
    <w:rsid w:val="00BA54A1"/>
    <w:rsid w:val="00BD0040"/>
    <w:rsid w:val="00BD7DFC"/>
    <w:rsid w:val="00BF161C"/>
    <w:rsid w:val="00C9448D"/>
    <w:rsid w:val="00CD51EF"/>
    <w:rsid w:val="00CE5392"/>
    <w:rsid w:val="00D065AC"/>
    <w:rsid w:val="00D93E62"/>
    <w:rsid w:val="00DF3F29"/>
    <w:rsid w:val="00E113B0"/>
    <w:rsid w:val="00E87C1E"/>
    <w:rsid w:val="00EA2D42"/>
    <w:rsid w:val="00F138FE"/>
    <w:rsid w:val="00F204CC"/>
    <w:rsid w:val="00F66CFE"/>
    <w:rsid w:val="00F7786A"/>
    <w:rsid w:val="00F92014"/>
    <w:rsid w:val="020413E9"/>
    <w:rsid w:val="02625460"/>
    <w:rsid w:val="030E753C"/>
    <w:rsid w:val="03A25835"/>
    <w:rsid w:val="03DB0C15"/>
    <w:rsid w:val="05944970"/>
    <w:rsid w:val="05A259F1"/>
    <w:rsid w:val="06434357"/>
    <w:rsid w:val="06905F55"/>
    <w:rsid w:val="084403C7"/>
    <w:rsid w:val="0D114D25"/>
    <w:rsid w:val="0DBF66E3"/>
    <w:rsid w:val="0E161F02"/>
    <w:rsid w:val="10AB745F"/>
    <w:rsid w:val="10BD37C6"/>
    <w:rsid w:val="1165614A"/>
    <w:rsid w:val="11972605"/>
    <w:rsid w:val="136F081D"/>
    <w:rsid w:val="14F82F79"/>
    <w:rsid w:val="15C21D0E"/>
    <w:rsid w:val="15D14C47"/>
    <w:rsid w:val="17F30203"/>
    <w:rsid w:val="185F2E14"/>
    <w:rsid w:val="1967240D"/>
    <w:rsid w:val="19A13DD5"/>
    <w:rsid w:val="1CE11745"/>
    <w:rsid w:val="1D010DF3"/>
    <w:rsid w:val="1EDD405B"/>
    <w:rsid w:val="1F707A09"/>
    <w:rsid w:val="21152A38"/>
    <w:rsid w:val="21B40E5C"/>
    <w:rsid w:val="241A2F09"/>
    <w:rsid w:val="24326DF1"/>
    <w:rsid w:val="24E33AD5"/>
    <w:rsid w:val="255940D8"/>
    <w:rsid w:val="25EE6DEC"/>
    <w:rsid w:val="260A5412"/>
    <w:rsid w:val="2787664C"/>
    <w:rsid w:val="29862CB8"/>
    <w:rsid w:val="29A84304"/>
    <w:rsid w:val="2CA413AD"/>
    <w:rsid w:val="2EA451BE"/>
    <w:rsid w:val="2F0C4AC8"/>
    <w:rsid w:val="2F4F17B5"/>
    <w:rsid w:val="30E57727"/>
    <w:rsid w:val="30F64FC4"/>
    <w:rsid w:val="315A7D3A"/>
    <w:rsid w:val="325845A2"/>
    <w:rsid w:val="33C852BE"/>
    <w:rsid w:val="350230B9"/>
    <w:rsid w:val="356E3BE0"/>
    <w:rsid w:val="35A6339D"/>
    <w:rsid w:val="37285450"/>
    <w:rsid w:val="372A47A2"/>
    <w:rsid w:val="37513ABD"/>
    <w:rsid w:val="37D35675"/>
    <w:rsid w:val="37DF52E0"/>
    <w:rsid w:val="3C8461D9"/>
    <w:rsid w:val="3D0906A9"/>
    <w:rsid w:val="3DB86EC2"/>
    <w:rsid w:val="3E36565C"/>
    <w:rsid w:val="3F566DB0"/>
    <w:rsid w:val="3FC14295"/>
    <w:rsid w:val="40044169"/>
    <w:rsid w:val="41601BDB"/>
    <w:rsid w:val="427450A4"/>
    <w:rsid w:val="44AC07D5"/>
    <w:rsid w:val="47177677"/>
    <w:rsid w:val="47876361"/>
    <w:rsid w:val="495316D7"/>
    <w:rsid w:val="4AC6676D"/>
    <w:rsid w:val="4AD203D4"/>
    <w:rsid w:val="4B0A107B"/>
    <w:rsid w:val="4C781BE7"/>
    <w:rsid w:val="4E7A693D"/>
    <w:rsid w:val="4EBC1237"/>
    <w:rsid w:val="4F9644B5"/>
    <w:rsid w:val="5224190B"/>
    <w:rsid w:val="55B67588"/>
    <w:rsid w:val="56EA2DF0"/>
    <w:rsid w:val="5AD7610B"/>
    <w:rsid w:val="5AE1172E"/>
    <w:rsid w:val="5B0B7F0E"/>
    <w:rsid w:val="5DA45566"/>
    <w:rsid w:val="5F482BBC"/>
    <w:rsid w:val="608B564A"/>
    <w:rsid w:val="61F53AAA"/>
    <w:rsid w:val="629C7D87"/>
    <w:rsid w:val="63470076"/>
    <w:rsid w:val="6381334D"/>
    <w:rsid w:val="65AE060C"/>
    <w:rsid w:val="6C9F20B2"/>
    <w:rsid w:val="6D794902"/>
    <w:rsid w:val="6E2207D0"/>
    <w:rsid w:val="6F066E31"/>
    <w:rsid w:val="700A6127"/>
    <w:rsid w:val="7189237A"/>
    <w:rsid w:val="71B205C1"/>
    <w:rsid w:val="71C93182"/>
    <w:rsid w:val="73192E1A"/>
    <w:rsid w:val="73E877E6"/>
    <w:rsid w:val="77855D8E"/>
    <w:rsid w:val="77A607E9"/>
    <w:rsid w:val="786150E6"/>
    <w:rsid w:val="79B23531"/>
    <w:rsid w:val="7B4E2D2D"/>
    <w:rsid w:val="7CD66059"/>
    <w:rsid w:val="7CEC5E8B"/>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3"/>
    <customShpInfo spid="_x0000_s1026"/>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5DEAE-A41E-4ED5-84F3-984493651E8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1780</Words>
  <Characters>10152</Characters>
  <Lines>84</Lines>
  <Paragraphs>23</Paragraphs>
  <TotalTime>0</TotalTime>
  <ScaleCrop>false</ScaleCrop>
  <LinksUpToDate>false</LinksUpToDate>
  <CharactersWithSpaces>11909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2020-06-04T11:20:00Z</cp:lastPrinted>
  <dcterms:modified xsi:type="dcterms:W3CDTF">2020-06-12T08:07:33Z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