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eastAsia="黑体"/>
          <w:b/>
          <w:bCs/>
          <w:sz w:val="32"/>
          <w:lang w:eastAsia="zh-CN"/>
        </w:rPr>
        <w:t>铜版粘贴片</w:t>
      </w:r>
      <w:r>
        <w:rPr>
          <w:rFonts w:hint="eastAsia" w:eastAsia="黑体"/>
          <w:b/>
          <w:bCs/>
          <w:sz w:val="32"/>
        </w:rPr>
        <w:t>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YN2020-020-1</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w:t>
      </w:r>
      <w:r>
        <w:rPr>
          <w:rFonts w:hint="eastAsia" w:eastAsia="黑体"/>
          <w:b/>
          <w:bCs/>
          <w:sz w:val="32"/>
          <w:lang w:eastAsia="zh-CN"/>
        </w:rPr>
        <w:t>七</w:t>
      </w:r>
      <w:r>
        <w:rPr>
          <w:rFonts w:hint="eastAsia" w:eastAsia="黑体"/>
          <w:b/>
          <w:bCs/>
          <w:sz w:val="32"/>
        </w:rPr>
        <w:t>月</w:t>
      </w:r>
      <w:r>
        <w:rPr>
          <w:rFonts w:hint="eastAsia" w:eastAsia="黑体"/>
          <w:b/>
          <w:bCs/>
          <w:sz w:val="32"/>
          <w:lang w:eastAsia="zh-CN"/>
        </w:rPr>
        <w:t>一十五</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14</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14</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fmt="decimal" w:start="1"/>
          <w:cols w:space="720" w:num="1"/>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w:t>
      </w:r>
      <w:r>
        <w:rPr>
          <w:rFonts w:hint="eastAsia" w:ascii="宋体" w:hAnsi="宋体" w:cs="宋体"/>
          <w:sz w:val="30"/>
          <w:szCs w:val="30"/>
          <w:lang w:eastAsia="zh-CN"/>
        </w:rPr>
        <w:t>铜版粘贴片采购</w:t>
      </w:r>
      <w:r>
        <w:rPr>
          <w:rFonts w:hint="eastAsia" w:ascii="宋体" w:hAnsi="宋体" w:cs="宋体"/>
          <w:sz w:val="30"/>
          <w:szCs w:val="30"/>
        </w:rPr>
        <w:t>项目进行竞争性谈判采购。欢迎符合资格条件的供应商前来参加。</w:t>
      </w:r>
    </w:p>
    <w:p>
      <w:pPr>
        <w:pStyle w:val="10"/>
        <w:spacing w:line="460" w:lineRule="exact"/>
        <w:ind w:firstLine="602"/>
        <w:rPr>
          <w:rFonts w:hint="default" w:ascii="宋体" w:hAnsi="宋体" w:cs="宋体"/>
          <w:sz w:val="30"/>
          <w:szCs w:val="30"/>
          <w:lang w:val="en-US"/>
        </w:rPr>
      </w:pPr>
      <w:r>
        <w:rPr>
          <w:rFonts w:hint="eastAsia" w:ascii="宋体" w:hAnsi="宋体" w:cs="宋体"/>
          <w:b/>
          <w:bCs/>
          <w:sz w:val="30"/>
          <w:szCs w:val="30"/>
        </w:rPr>
        <w:t>（一）项目编号：</w:t>
      </w:r>
      <w:r>
        <w:rPr>
          <w:rFonts w:hint="eastAsia" w:ascii="宋体" w:hAnsi="宋体" w:eastAsia="宋体" w:cs="宋体"/>
          <w:b w:val="0"/>
          <w:bCs w:val="0"/>
          <w:color w:val="auto"/>
          <w:sz w:val="32"/>
          <w:lang w:val="en-US" w:eastAsia="zh-CN"/>
        </w:rPr>
        <w:t>YN2020-020</w:t>
      </w:r>
      <w:r>
        <w:rPr>
          <w:rFonts w:hint="eastAsia" w:ascii="宋体" w:hAnsi="宋体" w:cs="宋体"/>
          <w:b w:val="0"/>
          <w:bCs w:val="0"/>
          <w:color w:val="auto"/>
          <w:sz w:val="32"/>
          <w:lang w:val="en-US" w:eastAsia="zh-CN"/>
        </w:rPr>
        <w:t>-1</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hint="eastAsia" w:ascii="宋体" w:hAnsi="宋体" w:cs="宋体"/>
          <w:b/>
          <w:bCs/>
          <w:sz w:val="30"/>
          <w:szCs w:val="30"/>
        </w:rPr>
      </w:pPr>
      <w:r>
        <w:rPr>
          <w:rFonts w:hint="eastAsia" w:ascii="宋体" w:hAnsi="宋体" w:cs="宋体"/>
          <w:b/>
          <w:bCs/>
          <w:sz w:val="30"/>
          <w:szCs w:val="30"/>
        </w:rPr>
        <w:t>（三）采购内容：</w:t>
      </w:r>
    </w:p>
    <w:tbl>
      <w:tblPr>
        <w:tblStyle w:val="18"/>
        <w:tblpPr w:leftFromText="180" w:rightFromText="180" w:vertAnchor="text" w:horzAnchor="page" w:tblpX="1122" w:tblpY="151"/>
        <w:tblOverlap w:val="never"/>
        <w:tblW w:w="9790" w:type="dxa"/>
        <w:tblInd w:w="0" w:type="dxa"/>
        <w:shd w:val="clear" w:color="auto" w:fill="auto"/>
        <w:tblLayout w:type="fixed"/>
        <w:tblCellMar>
          <w:top w:w="0" w:type="dxa"/>
          <w:left w:w="0" w:type="dxa"/>
          <w:bottom w:w="0" w:type="dxa"/>
          <w:right w:w="0" w:type="dxa"/>
        </w:tblCellMar>
      </w:tblPr>
      <w:tblGrid>
        <w:gridCol w:w="1585"/>
        <w:gridCol w:w="3405"/>
        <w:gridCol w:w="1165"/>
        <w:gridCol w:w="1355"/>
        <w:gridCol w:w="2280"/>
      </w:tblGrid>
      <w:tr>
        <w:tblPrEx>
          <w:shd w:val="clear" w:color="auto" w:fill="auto"/>
          <w:tblCellMar>
            <w:top w:w="0" w:type="dxa"/>
            <w:left w:w="0" w:type="dxa"/>
            <w:bottom w:w="0" w:type="dxa"/>
            <w:right w:w="0" w:type="dxa"/>
          </w:tblCellMar>
        </w:tblPrEx>
        <w:trPr>
          <w:trHeight w:val="84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highlight w:val="none"/>
                <w:u w:val="none"/>
              </w:rPr>
            </w:pPr>
            <w:r>
              <w:rPr>
                <w:rFonts w:hint="eastAsia" w:ascii="宋体" w:hAnsi="宋体" w:eastAsia="宋体" w:cs="宋体"/>
                <w:b/>
                <w:i w:val="0"/>
                <w:color w:val="000000"/>
                <w:kern w:val="0"/>
                <w:sz w:val="27"/>
                <w:szCs w:val="27"/>
                <w:highlight w:val="none"/>
                <w:u w:val="none"/>
                <w:lang w:val="en-US" w:eastAsia="zh-CN" w:bidi="ar"/>
              </w:rPr>
              <w:t>项目名称</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7"/>
                <w:szCs w:val="27"/>
                <w:highlight w:val="none"/>
                <w:u w:val="none"/>
                <w:lang w:val="en-US" w:eastAsia="zh-CN" w:bidi="ar-SA"/>
              </w:rPr>
            </w:pPr>
            <w:r>
              <w:rPr>
                <w:rFonts w:hint="eastAsia" w:ascii="宋体" w:hAnsi="宋体" w:eastAsia="宋体" w:cs="宋体"/>
                <w:b/>
                <w:i w:val="0"/>
                <w:color w:val="000000"/>
                <w:kern w:val="0"/>
                <w:sz w:val="27"/>
                <w:szCs w:val="27"/>
                <w:highlight w:val="none"/>
                <w:u w:val="none"/>
                <w:lang w:val="en-US" w:eastAsia="zh-CN" w:bidi="ar"/>
              </w:rPr>
              <w:t>主要技术规格及要求</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highlight w:val="none"/>
                <w:u w:val="none"/>
              </w:rPr>
            </w:pPr>
            <w:r>
              <w:rPr>
                <w:rFonts w:hint="eastAsia" w:ascii="宋体" w:hAnsi="宋体" w:eastAsia="宋体" w:cs="宋体"/>
                <w:b/>
                <w:i w:val="0"/>
                <w:color w:val="000000"/>
                <w:kern w:val="0"/>
                <w:sz w:val="27"/>
                <w:szCs w:val="27"/>
                <w:highlight w:val="none"/>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highlight w:val="none"/>
                <w:u w:val="none"/>
              </w:rPr>
            </w:pPr>
            <w:r>
              <w:rPr>
                <w:rFonts w:hint="eastAsia" w:ascii="宋体" w:hAnsi="宋体" w:eastAsia="宋体" w:cs="宋体"/>
                <w:b/>
                <w:i w:val="0"/>
                <w:color w:val="000000"/>
                <w:kern w:val="0"/>
                <w:sz w:val="27"/>
                <w:szCs w:val="27"/>
                <w:highlight w:val="none"/>
                <w:u w:val="none"/>
                <w:lang w:val="en-US" w:eastAsia="zh-CN" w:bidi="ar"/>
              </w:rPr>
              <w:t>单位</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7"/>
                <w:szCs w:val="27"/>
                <w:highlight w:val="none"/>
                <w:u w:val="none"/>
                <w:lang w:val="en-US" w:eastAsia="zh-CN" w:bidi="ar"/>
              </w:rPr>
            </w:pPr>
            <w:r>
              <w:rPr>
                <w:rFonts w:hint="eastAsia" w:ascii="宋体" w:hAnsi="宋体" w:cs="宋体"/>
                <w:b/>
                <w:i w:val="0"/>
                <w:color w:val="000000"/>
                <w:kern w:val="0"/>
                <w:sz w:val="27"/>
                <w:szCs w:val="27"/>
                <w:highlight w:val="none"/>
                <w:u w:val="none"/>
                <w:lang w:val="en-US" w:eastAsia="zh-CN" w:bidi="ar"/>
              </w:rPr>
              <w:t>预算单价（元）</w:t>
            </w:r>
          </w:p>
        </w:tc>
      </w:tr>
      <w:tr>
        <w:tblPrEx>
          <w:tblCellMar>
            <w:top w:w="0" w:type="dxa"/>
            <w:left w:w="0" w:type="dxa"/>
            <w:bottom w:w="0" w:type="dxa"/>
            <w:right w:w="0" w:type="dxa"/>
          </w:tblCellMar>
        </w:tblPrEx>
        <w:trPr>
          <w:trHeight w:val="84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铜</w:t>
            </w:r>
            <w:r>
              <w:rPr>
                <w:rFonts w:hint="eastAsia" w:ascii="宋体" w:hAnsi="宋体" w:cs="宋体"/>
                <w:i w:val="0"/>
                <w:color w:val="000000"/>
                <w:kern w:val="0"/>
                <w:sz w:val="21"/>
                <w:szCs w:val="21"/>
                <w:highlight w:val="none"/>
                <w:u w:val="none"/>
                <w:lang w:val="en-US" w:eastAsia="zh-CN" w:bidi="ar"/>
              </w:rPr>
              <w:t>版</w:t>
            </w:r>
            <w:r>
              <w:rPr>
                <w:rFonts w:hint="eastAsia" w:ascii="宋体" w:hAnsi="宋体" w:eastAsia="宋体" w:cs="宋体"/>
                <w:i w:val="0"/>
                <w:color w:val="000000"/>
                <w:kern w:val="0"/>
                <w:sz w:val="21"/>
                <w:szCs w:val="21"/>
                <w:highlight w:val="none"/>
                <w:u w:val="none"/>
                <w:lang w:val="en-US" w:eastAsia="zh-CN" w:bidi="ar"/>
              </w:rPr>
              <w:t>粘贴片</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70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*70</w:t>
            </w:r>
            <w:r>
              <w:rPr>
                <w:rFonts w:hint="eastAsia" w:ascii="宋体" w:hAnsi="宋体" w:cs="宋体"/>
                <w:i w:val="0"/>
                <w:color w:val="000000"/>
                <w:kern w:val="0"/>
                <w:sz w:val="21"/>
                <w:szCs w:val="21"/>
                <w:highlight w:val="none"/>
                <w:u w:val="none"/>
                <w:lang w:val="en-US" w:eastAsia="zh-CN" w:bidi="ar"/>
              </w:rPr>
              <w:t>mm*1500pcs（圆筒直径76mm-80mm）</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200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139.1</w:t>
            </w:r>
          </w:p>
        </w:tc>
      </w:tr>
      <w:tr>
        <w:tblPrEx>
          <w:tblCellMar>
            <w:top w:w="0" w:type="dxa"/>
            <w:left w:w="0" w:type="dxa"/>
            <w:bottom w:w="0" w:type="dxa"/>
            <w:right w:w="0" w:type="dxa"/>
          </w:tblCellMar>
        </w:tblPrEx>
        <w:trPr>
          <w:trHeight w:val="84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铜</w:t>
            </w:r>
            <w:r>
              <w:rPr>
                <w:rFonts w:hint="eastAsia" w:ascii="宋体" w:hAnsi="宋体" w:cs="宋体"/>
                <w:i w:val="0"/>
                <w:color w:val="000000"/>
                <w:kern w:val="0"/>
                <w:sz w:val="21"/>
                <w:szCs w:val="21"/>
                <w:highlight w:val="none"/>
                <w:u w:val="none"/>
                <w:lang w:val="en-US" w:eastAsia="zh-CN" w:bidi="ar"/>
              </w:rPr>
              <w:t>版</w:t>
            </w:r>
            <w:r>
              <w:rPr>
                <w:rFonts w:hint="eastAsia" w:ascii="宋体" w:hAnsi="宋体" w:eastAsia="宋体" w:cs="宋体"/>
                <w:i w:val="0"/>
                <w:color w:val="000000"/>
                <w:kern w:val="0"/>
                <w:sz w:val="21"/>
                <w:szCs w:val="21"/>
                <w:highlight w:val="none"/>
                <w:u w:val="none"/>
                <w:lang w:val="en-US" w:eastAsia="zh-CN" w:bidi="ar"/>
              </w:rPr>
              <w:t>粘贴片</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80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*80</w:t>
            </w:r>
            <w:r>
              <w:rPr>
                <w:rFonts w:hint="eastAsia" w:ascii="宋体" w:hAnsi="宋体" w:cs="宋体"/>
                <w:i w:val="0"/>
                <w:color w:val="000000"/>
                <w:kern w:val="0"/>
                <w:sz w:val="21"/>
                <w:szCs w:val="21"/>
                <w:highlight w:val="none"/>
                <w:u w:val="none"/>
                <w:lang w:val="en-US" w:eastAsia="zh-CN" w:bidi="ar"/>
              </w:rPr>
              <w:t>mm*500pcs（圆筒直径25mm-28mm）</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3600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32.3</w:t>
            </w:r>
          </w:p>
        </w:tc>
      </w:tr>
      <w:tr>
        <w:tblPrEx>
          <w:tblCellMar>
            <w:top w:w="0" w:type="dxa"/>
            <w:left w:w="0" w:type="dxa"/>
            <w:bottom w:w="0" w:type="dxa"/>
            <w:right w:w="0" w:type="dxa"/>
          </w:tblCellMar>
        </w:tblPrEx>
        <w:trPr>
          <w:trHeight w:val="84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复墨带</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80mm*300m</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1500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33.1</w:t>
            </w:r>
          </w:p>
        </w:tc>
      </w:tr>
      <w:tr>
        <w:tblPrEx>
          <w:tblCellMar>
            <w:top w:w="0" w:type="dxa"/>
            <w:left w:w="0" w:type="dxa"/>
            <w:bottom w:w="0" w:type="dxa"/>
            <w:right w:w="0" w:type="dxa"/>
          </w:tblCellMar>
        </w:tblPrEx>
        <w:trPr>
          <w:trHeight w:val="84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配置专用袋</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*50</w:t>
            </w:r>
            <w:r>
              <w:rPr>
                <w:rFonts w:hint="eastAsia" w:ascii="宋体" w:hAnsi="宋体" w:cs="宋体"/>
                <w:i w:val="0"/>
                <w:color w:val="000000"/>
                <w:kern w:val="0"/>
                <w:sz w:val="21"/>
                <w:szCs w:val="21"/>
                <w:highlight w:val="none"/>
                <w:u w:val="none"/>
                <w:lang w:val="en-US" w:eastAsia="zh-CN" w:bidi="ar"/>
              </w:rPr>
              <w:t>mm*120pcs</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3500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27.5</w:t>
            </w:r>
          </w:p>
        </w:tc>
      </w:tr>
      <w:tr>
        <w:tblPrEx>
          <w:tblCellMar>
            <w:top w:w="0" w:type="dxa"/>
            <w:left w:w="0" w:type="dxa"/>
            <w:bottom w:w="0" w:type="dxa"/>
            <w:right w:w="0" w:type="dxa"/>
          </w:tblCellMar>
        </w:tblPrEx>
        <w:trPr>
          <w:trHeight w:val="840" w:hRule="atLeast"/>
        </w:trPr>
        <w:tc>
          <w:tcPr>
            <w:tcW w:w="97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1" w:firstLineChars="10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b/>
                <w:bCs/>
                <w:i w:val="0"/>
                <w:color w:val="000000"/>
                <w:kern w:val="0"/>
                <w:sz w:val="22"/>
                <w:szCs w:val="22"/>
                <w:highlight w:val="none"/>
                <w:u w:val="none"/>
                <w:lang w:val="en-US" w:eastAsia="zh-CN" w:bidi="ar"/>
              </w:rPr>
              <w:t>预算总价：290000元（人民币贰拾玖万元整）</w:t>
            </w:r>
          </w:p>
        </w:tc>
      </w:tr>
    </w:tbl>
    <w:p>
      <w:pPr>
        <w:pStyle w:val="16"/>
        <w:spacing w:before="0" w:beforeAutospacing="0" w:after="0" w:afterAutospacing="0" w:line="460" w:lineRule="exact"/>
        <w:jc w:val="both"/>
        <w:rPr>
          <w:rFonts w:hint="eastAsia"/>
          <w:b/>
          <w:bCs/>
          <w:kern w:val="2"/>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highlight w:val="none"/>
        </w:rPr>
      </w:pPr>
      <w:r>
        <w:rPr>
          <w:rFonts w:hint="eastAsia"/>
          <w:b/>
          <w:bCs/>
          <w:kern w:val="2"/>
          <w:sz w:val="30"/>
          <w:szCs w:val="30"/>
        </w:rPr>
        <w:t>（六）谈判文件公告期限：</w:t>
      </w:r>
      <w:r>
        <w:rPr>
          <w:rFonts w:hint="eastAsia"/>
          <w:kern w:val="2"/>
          <w:sz w:val="30"/>
          <w:szCs w:val="30"/>
        </w:rPr>
        <w:t>自谈判公告发</w:t>
      </w:r>
      <w:r>
        <w:rPr>
          <w:rFonts w:hint="eastAsia"/>
          <w:kern w:val="2"/>
          <w:sz w:val="30"/>
          <w:szCs w:val="30"/>
          <w:highlight w:val="none"/>
        </w:rPr>
        <w:t>布之日（20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7</w:t>
      </w:r>
      <w:r>
        <w:rPr>
          <w:rFonts w:hint="eastAsia"/>
          <w:kern w:val="2"/>
          <w:sz w:val="30"/>
          <w:szCs w:val="30"/>
          <w:highlight w:val="none"/>
        </w:rPr>
        <w:t>月</w:t>
      </w:r>
      <w:r>
        <w:rPr>
          <w:rFonts w:hint="eastAsia"/>
          <w:kern w:val="2"/>
          <w:sz w:val="30"/>
          <w:szCs w:val="30"/>
          <w:highlight w:val="none"/>
          <w:lang w:val="en-US" w:eastAsia="zh-CN"/>
        </w:rPr>
        <w:t>15</w:t>
      </w:r>
      <w:r>
        <w:rPr>
          <w:rFonts w:hint="eastAsia"/>
          <w:kern w:val="2"/>
          <w:sz w:val="30"/>
          <w:szCs w:val="30"/>
          <w:highlight w:val="none"/>
        </w:rPr>
        <w:t>日）起三个工作日。</w:t>
      </w:r>
    </w:p>
    <w:p>
      <w:pPr>
        <w:pStyle w:val="16"/>
        <w:spacing w:before="0" w:beforeAutospacing="0" w:after="0" w:afterAutospacing="0" w:line="460" w:lineRule="exact"/>
        <w:ind w:firstLine="602" w:firstLineChars="200"/>
        <w:jc w:val="both"/>
        <w:rPr>
          <w:kern w:val="2"/>
          <w:sz w:val="30"/>
          <w:szCs w:val="30"/>
          <w:highlight w:val="none"/>
        </w:rPr>
      </w:pPr>
      <w:r>
        <w:rPr>
          <w:rFonts w:hint="eastAsia"/>
          <w:b/>
          <w:bCs/>
          <w:kern w:val="2"/>
          <w:sz w:val="30"/>
          <w:szCs w:val="30"/>
          <w:highlight w:val="none"/>
        </w:rPr>
        <w:t>（七）谈判文件的购买：</w:t>
      </w:r>
      <w:r>
        <w:rPr>
          <w:rFonts w:hint="eastAsia"/>
          <w:kern w:val="2"/>
          <w:sz w:val="30"/>
          <w:szCs w:val="30"/>
          <w:highlight w:val="none"/>
        </w:rPr>
        <w:t>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7</w:t>
      </w:r>
      <w:r>
        <w:rPr>
          <w:rFonts w:hint="eastAsia"/>
          <w:kern w:val="2"/>
          <w:sz w:val="30"/>
          <w:szCs w:val="30"/>
          <w:highlight w:val="none"/>
        </w:rPr>
        <w:t>月</w:t>
      </w:r>
      <w:r>
        <w:rPr>
          <w:rFonts w:hint="eastAsia"/>
          <w:kern w:val="2"/>
          <w:sz w:val="30"/>
          <w:szCs w:val="30"/>
          <w:highlight w:val="none"/>
          <w:lang w:val="en-US" w:eastAsia="zh-CN"/>
        </w:rPr>
        <w:t>16</w:t>
      </w:r>
      <w:r>
        <w:rPr>
          <w:rFonts w:hint="eastAsia"/>
          <w:kern w:val="2"/>
          <w:sz w:val="30"/>
          <w:szCs w:val="30"/>
          <w:highlight w:val="none"/>
        </w:rPr>
        <w:t>日至20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7</w:t>
      </w:r>
      <w:r>
        <w:rPr>
          <w:rFonts w:hint="eastAsia"/>
          <w:kern w:val="2"/>
          <w:sz w:val="30"/>
          <w:szCs w:val="30"/>
          <w:highlight w:val="none"/>
        </w:rPr>
        <w:t>月</w:t>
      </w:r>
      <w:r>
        <w:rPr>
          <w:rFonts w:hint="eastAsia"/>
          <w:kern w:val="2"/>
          <w:sz w:val="30"/>
          <w:szCs w:val="30"/>
          <w:highlight w:val="none"/>
          <w:lang w:val="en-US" w:eastAsia="zh-CN"/>
        </w:rPr>
        <w:t>20</w:t>
      </w:r>
      <w:r>
        <w:rPr>
          <w:rFonts w:hint="eastAsia"/>
          <w:kern w:val="2"/>
          <w:sz w:val="30"/>
          <w:szCs w:val="30"/>
          <w:highlight w:val="none"/>
        </w:rPr>
        <w:t>日（工作日内</w:t>
      </w:r>
      <w:r>
        <w:rPr>
          <w:rFonts w:hint="eastAsia"/>
          <w:color w:val="auto"/>
          <w:kern w:val="2"/>
          <w:sz w:val="30"/>
          <w:szCs w:val="30"/>
          <w:highlight w:val="none"/>
        </w:rPr>
        <w:t>）08∶</w:t>
      </w:r>
      <w:r>
        <w:rPr>
          <w:color w:val="auto"/>
          <w:kern w:val="2"/>
          <w:sz w:val="30"/>
          <w:szCs w:val="30"/>
          <w:highlight w:val="none"/>
        </w:rPr>
        <w:t>00</w:t>
      </w:r>
      <w:r>
        <w:rPr>
          <w:rFonts w:hint="eastAsia"/>
          <w:color w:val="auto"/>
          <w:kern w:val="2"/>
          <w:sz w:val="30"/>
          <w:szCs w:val="30"/>
          <w:highlight w:val="none"/>
        </w:rPr>
        <w:t>——1</w:t>
      </w:r>
      <w:r>
        <w:rPr>
          <w:color w:val="auto"/>
          <w:kern w:val="2"/>
          <w:sz w:val="30"/>
          <w:szCs w:val="30"/>
          <w:highlight w:val="none"/>
        </w:rPr>
        <w:t>2</w:t>
      </w:r>
      <w:r>
        <w:rPr>
          <w:rFonts w:hint="eastAsia"/>
          <w:color w:val="auto"/>
          <w:kern w:val="2"/>
          <w:sz w:val="30"/>
          <w:szCs w:val="30"/>
          <w:highlight w:val="none"/>
        </w:rPr>
        <w:t>∶</w:t>
      </w:r>
      <w:r>
        <w:rPr>
          <w:color w:val="auto"/>
          <w:kern w:val="2"/>
          <w:sz w:val="30"/>
          <w:szCs w:val="30"/>
          <w:highlight w:val="none"/>
        </w:rPr>
        <w:t>00</w:t>
      </w:r>
      <w:r>
        <w:rPr>
          <w:rFonts w:hint="eastAsia"/>
          <w:color w:val="auto"/>
          <w:kern w:val="2"/>
          <w:sz w:val="30"/>
          <w:szCs w:val="30"/>
          <w:highlight w:val="none"/>
        </w:rPr>
        <w:t>，14∶</w:t>
      </w:r>
      <w:r>
        <w:rPr>
          <w:color w:val="auto"/>
          <w:kern w:val="2"/>
          <w:sz w:val="30"/>
          <w:szCs w:val="30"/>
          <w:highlight w:val="none"/>
        </w:rPr>
        <w:t>3</w:t>
      </w:r>
      <w:r>
        <w:rPr>
          <w:rFonts w:hint="eastAsia"/>
          <w:color w:val="auto"/>
          <w:kern w:val="2"/>
          <w:sz w:val="30"/>
          <w:szCs w:val="30"/>
          <w:highlight w:val="none"/>
        </w:rPr>
        <w:t>0——17∶30，在赣州市人民医院南院（梅关大道16号）行政楼205招标办购买，由投标单位的基本账户转入医院的指定帐户（单位名称:赣州市人民医院；账号:</w:t>
      </w:r>
      <w:r>
        <w:rPr>
          <w:rFonts w:hint="eastAsia"/>
          <w:kern w:val="2"/>
          <w:sz w:val="30"/>
          <w:szCs w:val="30"/>
          <w:highlight w:val="none"/>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highlight w:val="none"/>
        </w:rPr>
        <w:t>（八）响应截止时间和谈判时间：</w:t>
      </w:r>
      <w:r>
        <w:rPr>
          <w:rFonts w:hint="eastAsia"/>
          <w:kern w:val="2"/>
          <w:sz w:val="30"/>
          <w:szCs w:val="30"/>
          <w:highlight w:val="none"/>
        </w:rPr>
        <w:t>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7</w:t>
      </w:r>
      <w:r>
        <w:rPr>
          <w:rFonts w:hint="eastAsia"/>
          <w:kern w:val="2"/>
          <w:sz w:val="30"/>
          <w:szCs w:val="30"/>
          <w:highlight w:val="none"/>
        </w:rPr>
        <w:t>月</w:t>
      </w:r>
      <w:r>
        <w:rPr>
          <w:rFonts w:hint="eastAsia"/>
          <w:kern w:val="2"/>
          <w:sz w:val="30"/>
          <w:szCs w:val="30"/>
          <w:highlight w:val="none"/>
          <w:lang w:val="en-US" w:eastAsia="zh-CN"/>
        </w:rPr>
        <w:t>24</w:t>
      </w:r>
      <w:r>
        <w:rPr>
          <w:rFonts w:hint="eastAsia"/>
          <w:kern w:val="2"/>
          <w:sz w:val="30"/>
          <w:szCs w:val="30"/>
          <w:highlight w:val="none"/>
        </w:rPr>
        <w:t>日</w:t>
      </w:r>
      <w:r>
        <w:rPr>
          <w:rFonts w:hint="eastAsia"/>
          <w:kern w:val="2"/>
          <w:sz w:val="30"/>
          <w:szCs w:val="30"/>
          <w:highlight w:val="none"/>
          <w:lang w:val="en-US" w:eastAsia="zh-CN"/>
        </w:rPr>
        <w:t>15:00</w:t>
      </w:r>
      <w:r>
        <w:rPr>
          <w:rFonts w:hint="eastAsia"/>
          <w:kern w:val="2"/>
          <w:sz w:val="30"/>
          <w:szCs w:val="30"/>
          <w:highlight w:val="none"/>
        </w:rPr>
        <w:t>（北京时间），</w:t>
      </w:r>
      <w:r>
        <w:rPr>
          <w:rFonts w:hint="eastAsia"/>
          <w:color w:val="auto"/>
          <w:kern w:val="2"/>
          <w:sz w:val="30"/>
          <w:szCs w:val="30"/>
          <w:highlight w:val="none"/>
        </w:rPr>
        <w:t>谈判地点：赣州市人民医院南院行政楼2楼</w:t>
      </w:r>
      <w:bookmarkStart w:id="38" w:name="_GoBack"/>
      <w:r>
        <w:rPr>
          <w:rFonts w:hint="eastAsia"/>
          <w:color w:val="auto"/>
          <w:kern w:val="2"/>
          <w:sz w:val="30"/>
          <w:szCs w:val="30"/>
          <w:highlight w:val="yellow"/>
          <w:lang w:val="en-US" w:eastAsia="zh-CN"/>
        </w:rPr>
        <w:t>2</w:t>
      </w:r>
      <w:r>
        <w:rPr>
          <w:rFonts w:hint="eastAsia"/>
          <w:color w:val="auto"/>
          <w:kern w:val="2"/>
          <w:sz w:val="30"/>
          <w:szCs w:val="30"/>
          <w:highlight w:val="yellow"/>
        </w:rPr>
        <w:t>号会议室</w:t>
      </w:r>
      <w:bookmarkEnd w:id="38"/>
      <w:r>
        <w:rPr>
          <w:rFonts w:hint="eastAsia"/>
          <w:color w:val="auto"/>
          <w:kern w:val="2"/>
          <w:sz w:val="30"/>
          <w:szCs w:val="30"/>
          <w:highlight w:val="none"/>
        </w:rPr>
        <w:t>。逾期或不符合规定</w:t>
      </w:r>
      <w:r>
        <w:rPr>
          <w:rFonts w:hint="eastAsia"/>
          <w:kern w:val="2"/>
          <w:sz w:val="30"/>
          <w:szCs w:val="30"/>
          <w:highlight w:val="none"/>
        </w:rPr>
        <w:t>的竞谈响应文件恕不接受。签到时应主动出示身份证明原件。（</w:t>
      </w:r>
      <w:r>
        <w:rPr>
          <w:rFonts w:hint="eastAsia"/>
          <w:kern w:val="2"/>
          <w:sz w:val="30"/>
          <w:szCs w:val="30"/>
        </w:rPr>
        <w:t>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w:t>
      </w:r>
      <w:r>
        <w:rPr>
          <w:rFonts w:hint="eastAsia"/>
          <w:kern w:val="2"/>
          <w:sz w:val="30"/>
          <w:szCs w:val="30"/>
          <w:highlight w:val="none"/>
        </w:rPr>
        <w:t>缴纳人民币</w:t>
      </w:r>
      <w:r>
        <w:rPr>
          <w:rFonts w:hint="eastAsia"/>
          <w:color w:val="auto"/>
          <w:kern w:val="2"/>
          <w:sz w:val="30"/>
          <w:szCs w:val="30"/>
          <w:highlight w:val="yellow"/>
          <w:lang w:eastAsia="zh-CN"/>
        </w:rPr>
        <w:t>伍仟捌佰元整</w:t>
      </w:r>
      <w:r>
        <w:rPr>
          <w:rFonts w:hint="eastAsia"/>
          <w:color w:val="auto"/>
          <w:kern w:val="2"/>
          <w:sz w:val="30"/>
          <w:szCs w:val="30"/>
          <w:highlight w:val="none"/>
        </w:rPr>
        <w:t>，须在开标当天上午8：00前到账，</w:t>
      </w:r>
      <w:r>
        <w:rPr>
          <w:rFonts w:hint="eastAsia"/>
          <w:color w:val="auto"/>
          <w:kern w:val="2"/>
          <w:sz w:val="30"/>
          <w:szCs w:val="30"/>
          <w:highlight w:val="none"/>
          <w:lang w:eastAsia="zh-CN"/>
        </w:rPr>
        <w:t>投标人未按照竞争性谈判文件要求提交投标保证金的，投标无效。</w:t>
      </w:r>
      <w:r>
        <w:rPr>
          <w:rFonts w:hint="eastAsia"/>
          <w:color w:val="auto"/>
          <w:kern w:val="2"/>
          <w:sz w:val="30"/>
          <w:szCs w:val="30"/>
        </w:rPr>
        <w:t>投标人未按照竞争性谈判文件要求提交投标保证金的，投标无效。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w:t>
      </w:r>
      <w:r>
        <w:rPr>
          <w:rFonts w:hint="eastAsia"/>
          <w:color w:val="auto"/>
          <w:kern w:val="2"/>
          <w:sz w:val="30"/>
          <w:szCs w:val="30"/>
        </w:rPr>
        <w:t>转为履约保证金；履约保证金按成交金额的</w:t>
      </w:r>
      <w:r>
        <w:rPr>
          <w:rFonts w:hint="eastAsia"/>
          <w:color w:val="auto"/>
          <w:kern w:val="2"/>
          <w:sz w:val="30"/>
          <w:szCs w:val="30"/>
          <w:lang w:val="en-US" w:eastAsia="zh-CN"/>
        </w:rPr>
        <w:t>5</w:t>
      </w:r>
      <w:r>
        <w:rPr>
          <w:rFonts w:hint="eastAsia"/>
          <w:color w:val="auto"/>
          <w:kern w:val="2"/>
          <w:sz w:val="30"/>
          <w:szCs w:val="30"/>
        </w:rPr>
        <w:t>%缴纳，不足部分在合同签订前补齐，</w:t>
      </w:r>
      <w:r>
        <w:rPr>
          <w:rFonts w:hint="eastAsia" w:ascii="宋体" w:hAnsi="宋体" w:eastAsia="宋体" w:cs="宋体"/>
          <w:color w:val="auto"/>
          <w:sz w:val="30"/>
          <w:szCs w:val="30"/>
          <w:highlight w:val="none"/>
        </w:rPr>
        <w:t>履约保证金在货物交付</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kern w:val="2"/>
          <w:sz w:val="30"/>
          <w:szCs w:val="30"/>
          <w:highlight w:val="none"/>
        </w:rPr>
        <w:t>验收合格后</w:t>
      </w:r>
      <w:r>
        <w:rPr>
          <w:rFonts w:hint="eastAsia" w:ascii="宋体" w:hAnsi="宋体" w:eastAsia="宋体" w:cs="宋体"/>
          <w:color w:val="auto"/>
          <w:sz w:val="30"/>
          <w:szCs w:val="30"/>
          <w:highlight w:val="none"/>
        </w:rPr>
        <w:t>自动转为质保金，</w:t>
      </w:r>
      <w:r>
        <w:rPr>
          <w:rFonts w:hint="eastAsia"/>
          <w:color w:val="auto"/>
          <w:kern w:val="2"/>
          <w:sz w:val="30"/>
          <w:szCs w:val="30"/>
        </w:rPr>
        <w:t>货物验收合格后质保期结束时一次性无息退还。</w:t>
      </w:r>
    </w:p>
    <w:p>
      <w:pPr>
        <w:pStyle w:val="16"/>
        <w:spacing w:before="0" w:beforeAutospacing="0" w:after="0" w:afterAutospacing="0" w:line="460" w:lineRule="exact"/>
        <w:ind w:firstLine="602" w:firstLineChars="200"/>
        <w:jc w:val="both"/>
        <w:rPr>
          <w:rFonts w:hint="eastAsia"/>
          <w:color w:val="auto"/>
          <w:kern w:val="2"/>
          <w:sz w:val="30"/>
          <w:szCs w:val="30"/>
          <w:highlight w:val="none"/>
        </w:rPr>
      </w:pPr>
      <w:r>
        <w:rPr>
          <w:rFonts w:hint="eastAsia"/>
          <w:b/>
          <w:bCs/>
          <w:color w:val="auto"/>
          <w:kern w:val="2"/>
          <w:sz w:val="30"/>
          <w:szCs w:val="30"/>
        </w:rPr>
        <w:t>（十）付款方法：</w:t>
      </w:r>
      <w:r>
        <w:rPr>
          <w:rFonts w:hint="eastAsia"/>
          <w:color w:val="auto"/>
          <w:kern w:val="2"/>
          <w:sz w:val="30"/>
          <w:szCs w:val="30"/>
          <w:highlight w:val="yellow"/>
        </w:rPr>
        <w:t>按月结算付款，</w:t>
      </w:r>
      <w:r>
        <w:rPr>
          <w:rFonts w:hint="eastAsia"/>
          <w:color w:val="auto"/>
          <w:kern w:val="2"/>
          <w:sz w:val="30"/>
          <w:szCs w:val="30"/>
          <w:highlight w:val="yellow"/>
          <w:lang w:eastAsia="zh-CN"/>
        </w:rPr>
        <w:t>供应商</w:t>
      </w:r>
      <w:r>
        <w:rPr>
          <w:rFonts w:hint="eastAsia"/>
          <w:color w:val="auto"/>
          <w:kern w:val="2"/>
          <w:sz w:val="30"/>
          <w:szCs w:val="30"/>
          <w:highlight w:val="yellow"/>
        </w:rPr>
        <w:t>根据</w:t>
      </w:r>
      <w:r>
        <w:rPr>
          <w:rFonts w:hint="eastAsia"/>
          <w:color w:val="auto"/>
          <w:kern w:val="2"/>
          <w:sz w:val="30"/>
          <w:szCs w:val="30"/>
          <w:highlight w:val="yellow"/>
          <w:lang w:eastAsia="zh-CN"/>
        </w:rPr>
        <w:t>采购人</w:t>
      </w:r>
      <w:r>
        <w:rPr>
          <w:rFonts w:hint="eastAsia"/>
          <w:color w:val="auto"/>
          <w:kern w:val="2"/>
          <w:sz w:val="30"/>
          <w:szCs w:val="30"/>
          <w:highlight w:val="yellow"/>
        </w:rPr>
        <w:t>实际需求供货，每月以验收合格的供货数开具相应金额的合法税票，采购人在收到税票后两个月内以转账方式付清相应金额货款。</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none"/>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499477410"/>
      <w:bookmarkStart w:id="7" w:name="_Toc501101639"/>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w:t>
      </w:r>
      <w:r>
        <w:rPr>
          <w:rFonts w:hint="eastAsia"/>
          <w:kern w:val="2"/>
          <w:sz w:val="30"/>
          <w:szCs w:val="30"/>
          <w:lang w:eastAsia="zh-CN"/>
        </w:rPr>
        <w:t>供货商</w:t>
      </w:r>
      <w:r>
        <w:rPr>
          <w:rFonts w:hint="eastAsia"/>
          <w:kern w:val="2"/>
          <w:sz w:val="30"/>
          <w:szCs w:val="30"/>
        </w:rPr>
        <w:t>应在《中标通知书》规定的时间内和</w:t>
      </w:r>
      <w:r>
        <w:rPr>
          <w:rFonts w:hint="eastAsia"/>
          <w:kern w:val="2"/>
          <w:sz w:val="30"/>
          <w:szCs w:val="30"/>
          <w:lang w:eastAsia="zh-CN"/>
        </w:rPr>
        <w:t>采购人</w:t>
      </w:r>
      <w:r>
        <w:rPr>
          <w:rFonts w:hint="eastAsia"/>
          <w:kern w:val="2"/>
          <w:sz w:val="30"/>
          <w:szCs w:val="30"/>
        </w:rPr>
        <w:t>签订正式合同，并在合同签订之</w:t>
      </w:r>
      <w:r>
        <w:rPr>
          <w:rFonts w:hint="eastAsia"/>
          <w:color w:val="auto"/>
          <w:kern w:val="2"/>
          <w:sz w:val="30"/>
          <w:szCs w:val="30"/>
        </w:rPr>
        <w:t>日起</w:t>
      </w:r>
      <w:r>
        <w:rPr>
          <w:rFonts w:hint="eastAsia"/>
          <w:color w:val="auto"/>
          <w:kern w:val="2"/>
          <w:sz w:val="30"/>
          <w:szCs w:val="30"/>
          <w:highlight w:val="none"/>
          <w:lang w:val="en-US" w:eastAsia="zh-CN"/>
        </w:rPr>
        <w:t>，</w:t>
      </w:r>
      <w:r>
        <w:rPr>
          <w:rFonts w:hint="eastAsia"/>
          <w:color w:val="auto"/>
          <w:kern w:val="2"/>
          <w:sz w:val="30"/>
          <w:szCs w:val="30"/>
          <w:highlight w:val="yellow"/>
          <w:lang w:val="en-US" w:eastAsia="zh-CN"/>
        </w:rPr>
        <w:t>根据采购方计划需求分批送货。</w:t>
      </w:r>
      <w:r>
        <w:rPr>
          <w:rFonts w:hint="eastAsia"/>
          <w:color w:val="FF0000"/>
          <w:kern w:val="2"/>
          <w:sz w:val="30"/>
          <w:szCs w:val="30"/>
          <w:highlight w:val="none"/>
        </w:rPr>
        <w:t xml:space="preserve"> </w:t>
      </w:r>
      <w:r>
        <w:rPr>
          <w:rFonts w:hint="eastAsia"/>
          <w:kern w:val="2"/>
          <w:sz w:val="30"/>
          <w:szCs w:val="30"/>
        </w:rPr>
        <w:t xml:space="preserve">        </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6、交货地点：采购人指定地点。</w:t>
      </w:r>
    </w:p>
    <w:bookmarkEnd w:id="8"/>
    <w:p>
      <w:pPr>
        <w:pStyle w:val="16"/>
        <w:spacing w:before="0" w:beforeAutospacing="0" w:after="0" w:afterAutospacing="0" w:line="460" w:lineRule="exact"/>
        <w:ind w:firstLine="602" w:firstLineChars="200"/>
        <w:jc w:val="both"/>
        <w:rPr>
          <w:rFonts w:hint="eastAsia"/>
          <w:b/>
          <w:bCs/>
          <w:color w:val="auto"/>
          <w:kern w:val="2"/>
          <w:sz w:val="30"/>
          <w:szCs w:val="30"/>
          <w:highlight w:val="none"/>
          <w:lang w:val="en-US" w:eastAsia="zh-CN"/>
        </w:rPr>
      </w:pPr>
      <w:r>
        <w:rPr>
          <w:rFonts w:hint="eastAsia"/>
          <w:b/>
          <w:bCs/>
          <w:color w:val="auto"/>
          <w:kern w:val="2"/>
          <w:sz w:val="30"/>
          <w:szCs w:val="30"/>
          <w:highlight w:val="none"/>
          <w:lang w:val="en-US" w:eastAsia="zh-CN"/>
        </w:rPr>
        <w:t>7</w:t>
      </w:r>
      <w:r>
        <w:rPr>
          <w:rFonts w:hint="eastAsia"/>
          <w:b/>
          <w:bCs/>
          <w:color w:val="auto"/>
          <w:kern w:val="2"/>
          <w:sz w:val="30"/>
          <w:szCs w:val="30"/>
          <w:highlight w:val="none"/>
        </w:rPr>
        <w:t>、产品参数要求:</w:t>
      </w:r>
      <w:r>
        <w:rPr>
          <w:rFonts w:hint="eastAsia"/>
          <w:b/>
          <w:bCs/>
          <w:color w:val="auto"/>
          <w:kern w:val="2"/>
          <w:sz w:val="30"/>
          <w:szCs w:val="30"/>
          <w:highlight w:val="none"/>
          <w:lang w:val="en-US" w:eastAsia="zh-CN"/>
        </w:rPr>
        <w:t xml:space="preserve">  </w:t>
      </w:r>
    </w:p>
    <w:p>
      <w:pPr>
        <w:pStyle w:val="16"/>
        <w:spacing w:before="0" w:beforeAutospacing="0" w:after="0" w:afterAutospacing="0" w:line="460" w:lineRule="exact"/>
        <w:ind w:firstLine="602" w:firstLineChars="200"/>
        <w:jc w:val="both"/>
        <w:rPr>
          <w:rFonts w:hint="eastAsia"/>
          <w:b/>
          <w:bCs/>
          <w:color w:val="auto"/>
          <w:kern w:val="2"/>
          <w:sz w:val="30"/>
          <w:szCs w:val="30"/>
          <w:highlight w:val="none"/>
          <w:lang w:val="en-US" w:eastAsia="zh-CN"/>
        </w:rPr>
      </w:pPr>
    </w:p>
    <w:p>
      <w:pPr>
        <w:pStyle w:val="16"/>
        <w:spacing w:before="0" w:beforeAutospacing="0" w:after="0" w:afterAutospacing="0" w:line="460" w:lineRule="exact"/>
        <w:ind w:firstLine="602" w:firstLineChars="200"/>
        <w:jc w:val="both"/>
        <w:rPr>
          <w:rFonts w:hint="eastAsia"/>
          <w:b/>
          <w:bCs/>
          <w:color w:val="auto"/>
          <w:kern w:val="2"/>
          <w:sz w:val="30"/>
          <w:szCs w:val="30"/>
          <w:highlight w:val="none"/>
          <w:lang w:val="en-US" w:eastAsia="zh-CN"/>
        </w:rPr>
      </w:pPr>
    </w:p>
    <w:p>
      <w:pPr>
        <w:pStyle w:val="16"/>
        <w:spacing w:before="0" w:beforeAutospacing="0" w:after="0" w:afterAutospacing="0" w:line="460" w:lineRule="exact"/>
        <w:ind w:firstLine="602" w:firstLineChars="200"/>
        <w:jc w:val="both"/>
        <w:rPr>
          <w:rFonts w:hint="eastAsia"/>
          <w:b/>
          <w:bCs/>
          <w:color w:val="auto"/>
          <w:kern w:val="2"/>
          <w:sz w:val="30"/>
          <w:szCs w:val="30"/>
          <w:highlight w:val="none"/>
          <w:lang w:val="en-US" w:eastAsia="zh-CN"/>
        </w:rPr>
      </w:pPr>
    </w:p>
    <w:p>
      <w:pPr>
        <w:pStyle w:val="16"/>
        <w:spacing w:before="0" w:beforeAutospacing="0" w:after="0" w:afterAutospacing="0" w:line="460" w:lineRule="exact"/>
        <w:ind w:firstLine="602" w:firstLineChars="200"/>
        <w:jc w:val="both"/>
        <w:rPr>
          <w:rFonts w:hint="eastAsia"/>
          <w:b/>
          <w:bCs/>
          <w:color w:val="auto"/>
          <w:kern w:val="2"/>
          <w:sz w:val="30"/>
          <w:szCs w:val="30"/>
          <w:highlight w:val="none"/>
          <w:lang w:val="en-US" w:eastAsia="zh-CN"/>
        </w:rPr>
      </w:pPr>
      <w:r>
        <w:rPr>
          <w:rFonts w:hint="eastAsia"/>
          <w:b/>
          <w:bCs/>
          <w:color w:val="auto"/>
          <w:kern w:val="2"/>
          <w:sz w:val="30"/>
          <w:szCs w:val="30"/>
          <w:highlight w:val="none"/>
          <w:lang w:val="en-US" w:eastAsia="zh-CN"/>
        </w:rPr>
        <w:t xml:space="preserve">  </w:t>
      </w:r>
    </w:p>
    <w:p>
      <w:pPr>
        <w:pStyle w:val="16"/>
        <w:spacing w:before="0" w:beforeAutospacing="0" w:after="0" w:afterAutospacing="0" w:line="460" w:lineRule="exact"/>
        <w:jc w:val="both"/>
        <w:rPr>
          <w:rFonts w:hint="eastAsia"/>
          <w:b/>
          <w:bCs/>
          <w:color w:val="auto"/>
          <w:kern w:val="2"/>
          <w:sz w:val="30"/>
          <w:szCs w:val="30"/>
          <w:highlight w:val="none"/>
          <w:lang w:val="en-US" w:eastAsia="zh-CN"/>
        </w:rPr>
      </w:pP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w:t>
      </w:r>
      <w:r>
        <w:rPr>
          <w:kern w:val="2"/>
          <w:sz w:val="30"/>
          <w:szCs w:val="30"/>
          <w:highlight w:val="none"/>
        </w:rPr>
        <w:t>1</w:t>
      </w:r>
      <w:r>
        <w:rPr>
          <w:rFonts w:hint="eastAsia"/>
          <w:kern w:val="2"/>
          <w:sz w:val="30"/>
          <w:szCs w:val="30"/>
          <w:highlight w:val="none"/>
        </w:rPr>
        <w:t>）铜版粘贴片参数</w:t>
      </w:r>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534"/>
        <w:gridCol w:w="2536"/>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34" w:type="dxa"/>
            <w:noWrap w:val="0"/>
            <w:vAlign w:val="center"/>
          </w:tcPr>
          <w:p>
            <w:pPr>
              <w:jc w:val="center"/>
              <w:rPr>
                <w:rFonts w:ascii="宋体" w:cs="宋体"/>
                <w:kern w:val="0"/>
                <w:sz w:val="30"/>
                <w:szCs w:val="30"/>
                <w:highlight w:val="none"/>
              </w:rPr>
            </w:pPr>
          </w:p>
          <w:p>
            <w:pPr>
              <w:jc w:val="center"/>
              <w:rPr>
                <w:rFonts w:ascii="宋体" w:cs="宋体"/>
                <w:kern w:val="0"/>
                <w:sz w:val="30"/>
                <w:szCs w:val="30"/>
                <w:highlight w:val="none"/>
              </w:rPr>
            </w:pPr>
            <w:r>
              <w:rPr>
                <w:rFonts w:hint="eastAsia" w:ascii="宋体" w:hAnsi="宋体" w:cs="宋体"/>
                <w:kern w:val="0"/>
                <w:sz w:val="30"/>
                <w:szCs w:val="30"/>
                <w:highlight w:val="none"/>
              </w:rPr>
              <w:t>品名</w:t>
            </w:r>
          </w:p>
          <w:p>
            <w:pPr>
              <w:jc w:val="center"/>
              <w:rPr>
                <w:rFonts w:ascii="宋体" w:cs="宋体"/>
                <w:kern w:val="0"/>
                <w:sz w:val="30"/>
                <w:szCs w:val="30"/>
                <w:highlight w:val="none"/>
              </w:rPr>
            </w:pPr>
          </w:p>
        </w:tc>
        <w:tc>
          <w:tcPr>
            <w:tcW w:w="7114" w:type="dxa"/>
            <w:gridSpan w:val="3"/>
            <w:noWrap w:val="0"/>
            <w:vAlign w:val="center"/>
          </w:tcPr>
          <w:p>
            <w:pPr>
              <w:rPr>
                <w:rFonts w:ascii="宋体" w:cs="宋体"/>
                <w:kern w:val="0"/>
                <w:sz w:val="30"/>
                <w:szCs w:val="30"/>
                <w:highlight w:val="none"/>
              </w:rPr>
            </w:pPr>
            <w:r>
              <w:rPr>
                <w:rFonts w:ascii="宋体" w:hAnsi="宋体" w:cs="宋体"/>
                <w:kern w:val="0"/>
                <w:sz w:val="30"/>
                <w:szCs w:val="30"/>
                <w:highlight w:val="none"/>
              </w:rPr>
              <w:t xml:space="preserve">               </w:t>
            </w:r>
            <w:r>
              <w:rPr>
                <w:rFonts w:hint="eastAsia" w:ascii="宋体" w:hAnsi="宋体" w:cs="宋体"/>
                <w:kern w:val="0"/>
                <w:sz w:val="30"/>
                <w:szCs w:val="30"/>
                <w:highlight w:val="none"/>
              </w:rPr>
              <w:t>铜版粘贴片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产品结构</w:t>
            </w:r>
          </w:p>
        </w:tc>
        <w:tc>
          <w:tcPr>
            <w:tcW w:w="7114" w:type="dxa"/>
            <w:gridSpan w:val="3"/>
            <w:noWrap w:val="0"/>
            <w:vAlign w:val="center"/>
          </w:tcPr>
          <w:tbl>
            <w:tblPr>
              <w:tblStyle w:val="18"/>
              <w:tblpPr w:leftFromText="180" w:rightFromText="180" w:vertAnchor="text" w:horzAnchor="page" w:tblpX="967" w:tblpY="236"/>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kern w:val="0"/>
                      <w:sz w:val="24"/>
                      <w:highlight w:val="none"/>
                    </w:rPr>
                  </w:pPr>
                  <w:r>
                    <w:rPr>
                      <w:rFonts w:ascii="黑体" w:hAnsi="黑体" w:eastAsia="黑体" w:cs="黑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kern w:val="0"/>
                      <w:sz w:val="24"/>
                      <w:highlight w:val="none"/>
                    </w:rPr>
                  </w:pPr>
                  <w:r>
                    <w:rPr>
                      <w:rFonts w:ascii="黑体" w:hAnsi="黑体" w:eastAsia="黑体" w:cs="黑体"/>
                      <w:kern w:val="0"/>
                      <w:sz w:val="24"/>
                      <w:highlight w:val="none"/>
                    </w:rPr>
                    <w:t>O O O O O O O O O O O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kern w:val="0"/>
                      <w:sz w:val="24"/>
                      <w:highlight w:val="none"/>
                    </w:rPr>
                  </w:pPr>
                  <w:r>
                    <w:rPr>
                      <w:rFonts w:ascii="黑体" w:hAnsi="黑体" w:eastAsia="黑体" w:cs="黑体"/>
                      <w:kern w:val="0"/>
                      <w:sz w:val="24"/>
                      <w:highlight w:val="none"/>
                    </w:rPr>
                    <w:t>X X X X X X X X X X X X</w:t>
                  </w:r>
                </w:p>
              </w:tc>
            </w:tr>
          </w:tbl>
          <w:p>
            <w:pPr>
              <w:jc w:val="center"/>
              <w:rPr>
                <w:rFonts w:ascii="黑体" w:hAnsi="黑体" w:eastAsia="黑体" w:cs="黑体"/>
                <w:kern w:val="0"/>
                <w:sz w:val="24"/>
                <w:highlight w:val="none"/>
              </w:rPr>
            </w:pPr>
          </w:p>
          <w:p>
            <w:pPr>
              <w:jc w:val="center"/>
              <w:rPr>
                <w:rFonts w:ascii="黑体" w:hAnsi="黑体" w:eastAsia="黑体" w:cs="黑体"/>
                <w:kern w:val="0"/>
                <w:sz w:val="24"/>
                <w:highlight w:val="none"/>
              </w:rPr>
            </w:pPr>
            <w:r>
              <w:rPr>
                <w:rFonts w:ascii="黑体" w:hAnsi="黑体" w:eastAsia="黑体" w:cs="黑体"/>
                <w:kern w:val="0"/>
                <w:sz w:val="24"/>
                <w:highlight w:val="none"/>
              </w:rPr>
              <w:t xml:space="preserve">                                  </w:t>
            </w:r>
            <w:r>
              <w:rPr>
                <w:rFonts w:hint="eastAsia" w:ascii="黑体" w:hAnsi="黑体" w:eastAsia="黑体" w:cs="黑体"/>
                <w:kern w:val="0"/>
                <w:sz w:val="24"/>
                <w:highlight w:val="none"/>
              </w:rPr>
              <w:t>→面胶</w:t>
            </w:r>
          </w:p>
          <w:p>
            <w:pPr>
              <w:jc w:val="center"/>
              <w:rPr>
                <w:rFonts w:ascii="黑体" w:hAnsi="黑体" w:eastAsia="黑体" w:cs="黑体"/>
                <w:kern w:val="0"/>
                <w:sz w:val="24"/>
                <w:highlight w:val="none"/>
              </w:rPr>
            </w:pPr>
            <w:r>
              <w:rPr>
                <w:rFonts w:ascii="黑体" w:hAnsi="黑体" w:eastAsia="黑体" w:cs="黑体"/>
                <w:kern w:val="0"/>
                <w:sz w:val="24"/>
                <w:highlight w:val="none"/>
              </w:rPr>
              <w:t xml:space="preserve">                                      </w:t>
            </w:r>
            <w:r>
              <w:rPr>
                <w:rFonts w:hint="eastAsia" w:ascii="黑体" w:hAnsi="黑体" w:eastAsia="黑体" w:cs="黑体"/>
                <w:kern w:val="0"/>
                <w:sz w:val="24"/>
                <w:highlight w:val="none"/>
              </w:rPr>
              <w:t>→胶水</w:t>
            </w:r>
          </w:p>
          <w:p>
            <w:pPr>
              <w:jc w:val="center"/>
              <w:rPr>
                <w:rFonts w:ascii="黑体" w:hAnsi="黑体" w:eastAsia="黑体" w:cs="黑体"/>
                <w:kern w:val="0"/>
                <w:sz w:val="24"/>
                <w:highlight w:val="none"/>
              </w:rPr>
            </w:pPr>
            <w:r>
              <w:rPr>
                <w:rFonts w:ascii="黑体" w:hAnsi="黑体" w:eastAsia="黑体" w:cs="黑体"/>
                <w:kern w:val="0"/>
                <w:sz w:val="24"/>
                <w:highlight w:val="none"/>
              </w:rPr>
              <w:t xml:space="preserve">                                       </w:t>
            </w:r>
            <w:r>
              <w:rPr>
                <w:rFonts w:hint="eastAsia" w:ascii="黑体" w:hAnsi="黑体" w:eastAsia="黑体" w:cs="黑体"/>
                <w:kern w:val="0"/>
                <w:sz w:val="24"/>
                <w:highlight w:val="none"/>
              </w:rPr>
              <w:t>→底纸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规格</w:t>
            </w:r>
          </w:p>
        </w:tc>
        <w:tc>
          <w:tcPr>
            <w:tcW w:w="7114" w:type="dxa"/>
            <w:gridSpan w:val="3"/>
            <w:noWrap w:val="0"/>
            <w:vAlign w:val="center"/>
          </w:tcPr>
          <w:p>
            <w:pPr>
              <w:jc w:val="left"/>
              <w:rPr>
                <w:rFonts w:ascii="宋体" w:cs="宋体"/>
                <w:sz w:val="24"/>
                <w:highlight w:val="none"/>
              </w:rPr>
            </w:pPr>
            <w:r>
              <w:rPr>
                <w:rFonts w:ascii="宋体" w:hAnsi="宋体" w:cs="宋体"/>
                <w:kern w:val="0"/>
                <w:sz w:val="24"/>
                <w:highlight w:val="none"/>
              </w:rPr>
              <w:t>1</w:t>
            </w:r>
            <w:r>
              <w:rPr>
                <w:rFonts w:hint="eastAsia" w:ascii="宋体" w:hAnsi="宋体" w:cs="宋体"/>
                <w:kern w:val="0"/>
                <w:sz w:val="24"/>
                <w:highlight w:val="none"/>
              </w:rPr>
              <w:t>、</w:t>
            </w:r>
            <w:r>
              <w:rPr>
                <w:rFonts w:ascii="宋体" w:hAnsi="宋体" w:cs="宋体"/>
                <w:kern w:val="0"/>
                <w:sz w:val="24"/>
                <w:highlight w:val="none"/>
              </w:rPr>
              <w:t>80mm*80mm *500</w:t>
            </w:r>
            <w:r>
              <w:rPr>
                <w:rFonts w:hint="eastAsia" w:ascii="宋体" w:hAnsi="宋体" w:cs="宋体"/>
                <w:kern w:val="0"/>
                <w:sz w:val="24"/>
                <w:highlight w:val="none"/>
              </w:rPr>
              <w:t>片每卷</w:t>
            </w:r>
            <w:r>
              <w:rPr>
                <w:rFonts w:hint="eastAsia" w:ascii="宋体" w:cs="宋体"/>
                <w:kern w:val="0"/>
                <w:sz w:val="24"/>
                <w:highlight w:val="none"/>
                <w:lang w:eastAsia="zh-CN"/>
              </w:rPr>
              <w:t>，</w:t>
            </w:r>
            <w:r>
              <w:rPr>
                <w:rFonts w:hint="eastAsia" w:ascii="宋体" w:hAnsi="宋体" w:cs="宋体"/>
                <w:sz w:val="24"/>
                <w:highlight w:val="none"/>
              </w:rPr>
              <w:t>标签圆筒直径：</w:t>
            </w:r>
            <w:r>
              <w:rPr>
                <w:rFonts w:ascii="宋体" w:hAnsi="宋体" w:cs="宋体"/>
                <w:sz w:val="24"/>
                <w:highlight w:val="none"/>
              </w:rPr>
              <w:t>25mm-28mm</w:t>
            </w:r>
          </w:p>
          <w:p>
            <w:pPr>
              <w:jc w:val="left"/>
              <w:rPr>
                <w:rFonts w:ascii="黑体" w:hAnsi="黑体" w:eastAsia="黑体" w:cs="黑体"/>
                <w:sz w:val="24"/>
                <w:highlight w:val="none"/>
              </w:rPr>
            </w:pP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70</w:t>
            </w:r>
            <w:r>
              <w:rPr>
                <w:rFonts w:ascii="宋体" w:hAnsi="宋体" w:cs="宋体"/>
                <w:kern w:val="0"/>
                <w:sz w:val="24"/>
                <w:highlight w:val="none"/>
              </w:rPr>
              <w:t>mm</w:t>
            </w:r>
            <w:r>
              <w:rPr>
                <w:rFonts w:ascii="宋体" w:hAnsi="宋体" w:cs="宋体"/>
                <w:sz w:val="24"/>
                <w:highlight w:val="none"/>
              </w:rPr>
              <w:t>*70mm *1500</w:t>
            </w:r>
            <w:r>
              <w:rPr>
                <w:rFonts w:hint="eastAsia" w:ascii="宋体" w:hAnsi="宋体" w:cs="宋体"/>
                <w:sz w:val="24"/>
                <w:highlight w:val="none"/>
              </w:rPr>
              <w:t>片</w:t>
            </w:r>
            <w:r>
              <w:rPr>
                <w:rFonts w:hint="eastAsia" w:ascii="宋体" w:hAnsi="宋体" w:cs="宋体"/>
                <w:kern w:val="0"/>
                <w:sz w:val="24"/>
                <w:highlight w:val="none"/>
              </w:rPr>
              <w:t>每卷</w:t>
            </w:r>
            <w:r>
              <w:rPr>
                <w:rFonts w:hint="eastAsia" w:ascii="宋体" w:hAnsi="宋体" w:cs="宋体"/>
                <w:sz w:val="24"/>
                <w:highlight w:val="none"/>
              </w:rPr>
              <w:t>，标签圆筒直径：</w:t>
            </w:r>
            <w:r>
              <w:rPr>
                <w:rFonts w:ascii="宋体" w:hAnsi="宋体" w:cs="宋体"/>
                <w:sz w:val="24"/>
                <w:highlight w:val="none"/>
              </w:rPr>
              <w:t>76mm-80mm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068" w:type="dxa"/>
            <w:gridSpan w:val="2"/>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面材</w:t>
            </w:r>
            <w:r>
              <w:rPr>
                <w:rFonts w:ascii="宋体" w:hAnsi="宋体" w:cs="宋体"/>
                <w:kern w:val="0"/>
                <w:sz w:val="30"/>
                <w:szCs w:val="30"/>
                <w:highlight w:val="none"/>
              </w:rPr>
              <w:t xml:space="preserve"> </w:t>
            </w:r>
          </w:p>
        </w:tc>
        <w:tc>
          <w:tcPr>
            <w:tcW w:w="4580" w:type="dxa"/>
            <w:gridSpan w:val="2"/>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底纸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材料名称</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铜版粘贴片</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材料名称</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离型纸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厚度</w:t>
            </w:r>
            <w:r>
              <w:rPr>
                <w:rFonts w:ascii="宋体" w:hAnsi="宋体" w:cs="宋体"/>
                <w:kern w:val="0"/>
                <w:sz w:val="30"/>
                <w:szCs w:val="30"/>
                <w:highlight w:val="none"/>
              </w:rPr>
              <w:t xml:space="preserve"> mm</w:t>
            </w:r>
          </w:p>
        </w:tc>
        <w:tc>
          <w:tcPr>
            <w:tcW w:w="2534"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0.068</w:t>
            </w:r>
            <w:r>
              <w:rPr>
                <w:rFonts w:hint="eastAsia" w:ascii="宋体" w:hAnsi="宋体" w:cs="宋体"/>
                <w:kern w:val="0"/>
                <w:sz w:val="30"/>
                <w:szCs w:val="30"/>
                <w:highlight w:val="none"/>
              </w:rPr>
              <w:t>±</w:t>
            </w:r>
            <w:r>
              <w:rPr>
                <w:rFonts w:ascii="宋体" w:hAnsi="宋体" w:cs="宋体"/>
                <w:kern w:val="0"/>
                <w:sz w:val="30"/>
                <w:szCs w:val="30"/>
                <w:highlight w:val="none"/>
              </w:rPr>
              <w:t>0.003</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厚度</w:t>
            </w:r>
            <w:r>
              <w:rPr>
                <w:rFonts w:ascii="宋体" w:hAnsi="宋体" w:cs="宋体"/>
                <w:kern w:val="0"/>
                <w:sz w:val="30"/>
                <w:szCs w:val="30"/>
                <w:highlight w:val="none"/>
              </w:rPr>
              <w:t xml:space="preserve"> um</w:t>
            </w:r>
          </w:p>
        </w:tc>
        <w:tc>
          <w:tcPr>
            <w:tcW w:w="2044"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85</w:t>
            </w:r>
            <w:r>
              <w:rPr>
                <w:rFonts w:hint="eastAsia" w:ascii="宋体" w:hAnsi="宋体" w:cs="宋体"/>
                <w:kern w:val="0"/>
                <w:sz w:val="30"/>
                <w:szCs w:val="30"/>
                <w:highlight w:val="none"/>
              </w:rPr>
              <w:t>±</w:t>
            </w:r>
            <w:r>
              <w:rPr>
                <w:rFonts w:ascii="宋体" w:hAnsi="宋体" w:cs="宋体"/>
                <w:kern w:val="0"/>
                <w:sz w:val="30"/>
                <w:szCs w:val="3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颜色</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白色</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颜色</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不限定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平滑度</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平滑度</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印刷性</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韧性</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648" w:type="dxa"/>
            <w:gridSpan w:val="4"/>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粘胶</w:t>
            </w:r>
            <w:r>
              <w:rPr>
                <w:rFonts w:ascii="宋体" w:hAnsi="宋体" w:cs="宋体"/>
                <w:kern w:val="0"/>
                <w:sz w:val="30"/>
                <w:szCs w:val="3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胶系</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水性压敏胶</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保持力</w:t>
            </w:r>
            <w:r>
              <w:rPr>
                <w:rFonts w:ascii="宋体" w:hAnsi="宋体" w:cs="宋体"/>
                <w:kern w:val="0"/>
                <w:sz w:val="30"/>
                <w:szCs w:val="30"/>
                <w:highlight w:val="none"/>
              </w:rPr>
              <w:t xml:space="preserve"> mm</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w:t>
            </w:r>
            <w:r>
              <w:rPr>
                <w:rFonts w:ascii="宋体" w:hAnsi="宋体" w:cs="宋体"/>
                <w:kern w:val="0"/>
                <w:sz w:val="30"/>
                <w:szCs w:val="30"/>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上胶厚度</w:t>
            </w:r>
            <w:r>
              <w:rPr>
                <w:rFonts w:ascii="宋体" w:hAnsi="宋体" w:cs="宋体"/>
                <w:kern w:val="0"/>
                <w:sz w:val="30"/>
                <w:szCs w:val="30"/>
                <w:highlight w:val="none"/>
              </w:rPr>
              <w:t xml:space="preserve"> mm</w:t>
            </w:r>
          </w:p>
        </w:tc>
        <w:tc>
          <w:tcPr>
            <w:tcW w:w="2534"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0.020</w:t>
            </w:r>
            <w:r>
              <w:rPr>
                <w:rFonts w:hint="eastAsia" w:ascii="宋体" w:hAnsi="宋体" w:cs="宋体"/>
                <w:kern w:val="0"/>
                <w:sz w:val="30"/>
                <w:szCs w:val="30"/>
                <w:highlight w:val="none"/>
              </w:rPr>
              <w:t>±</w:t>
            </w:r>
            <w:r>
              <w:rPr>
                <w:rFonts w:ascii="宋体" w:hAnsi="宋体" w:cs="宋体"/>
                <w:kern w:val="0"/>
                <w:sz w:val="30"/>
                <w:szCs w:val="30"/>
                <w:highlight w:val="none"/>
              </w:rPr>
              <w:t>0.002</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耐候性</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初粘力</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w:t>
            </w:r>
            <w:r>
              <w:rPr>
                <w:rFonts w:ascii="宋体" w:hAnsi="宋体" w:cs="宋体"/>
                <w:kern w:val="0"/>
                <w:sz w:val="30"/>
                <w:szCs w:val="30"/>
                <w:highlight w:val="none"/>
              </w:rPr>
              <w:t>8#</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适用温度℃</w:t>
            </w:r>
          </w:p>
        </w:tc>
        <w:tc>
          <w:tcPr>
            <w:tcW w:w="2044"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 xml:space="preserve">0 </w:t>
            </w:r>
            <w:r>
              <w:rPr>
                <w:rFonts w:hint="eastAsia" w:ascii="宋体" w:hAnsi="宋体" w:cs="宋体"/>
                <w:kern w:val="0"/>
                <w:sz w:val="30"/>
                <w:szCs w:val="30"/>
                <w:highlight w:val="none"/>
              </w:rPr>
              <w:t>～</w:t>
            </w:r>
            <w:r>
              <w:rPr>
                <w:rFonts w:ascii="宋体" w:hAnsi="宋体" w:cs="宋体"/>
                <w:kern w:val="0"/>
                <w:sz w:val="30"/>
                <w:szCs w:val="30"/>
                <w:highlight w:val="none"/>
              </w:rPr>
              <w:t xml:space="preserve">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剥离力</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w:t>
            </w:r>
            <w:r>
              <w:rPr>
                <w:rFonts w:ascii="宋体" w:hAnsi="宋体" w:cs="宋体"/>
                <w:kern w:val="0"/>
                <w:sz w:val="30"/>
                <w:szCs w:val="30"/>
                <w:highlight w:val="none"/>
              </w:rPr>
              <w:t>9.0</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耐水性</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r>
    </w:tbl>
    <w:p>
      <w:pPr>
        <w:pStyle w:val="16"/>
        <w:spacing w:before="0" w:beforeAutospacing="0" w:after="0" w:afterAutospacing="0" w:line="460" w:lineRule="exact"/>
        <w:ind w:firstLine="600" w:firstLineChars="200"/>
        <w:jc w:val="both"/>
        <w:rPr>
          <w:rFonts w:hint="eastAsia"/>
          <w:color w:val="auto"/>
          <w:kern w:val="2"/>
          <w:sz w:val="30"/>
          <w:szCs w:val="30"/>
          <w:highlight w:val="none"/>
        </w:rPr>
      </w:pPr>
      <w:r>
        <w:rPr>
          <w:rFonts w:hint="eastAsia"/>
          <w:color w:val="auto"/>
          <w:kern w:val="2"/>
          <w:sz w:val="30"/>
          <w:szCs w:val="30"/>
          <w:highlight w:val="none"/>
        </w:rPr>
        <w:t>整体版材规格为：</w:t>
      </w:r>
      <w:r>
        <w:rPr>
          <w:color w:val="auto"/>
          <w:kern w:val="2"/>
          <w:sz w:val="30"/>
          <w:szCs w:val="30"/>
          <w:highlight w:val="none"/>
        </w:rPr>
        <w:t xml:space="preserve">1070mm*400m </w:t>
      </w:r>
    </w:p>
    <w:p>
      <w:pPr>
        <w:pStyle w:val="16"/>
        <w:spacing w:before="0" w:beforeAutospacing="0" w:after="0" w:afterAutospacing="0" w:line="460" w:lineRule="exact"/>
        <w:ind w:firstLine="600" w:firstLineChars="200"/>
        <w:jc w:val="both"/>
        <w:rPr>
          <w:rFonts w:hint="eastAsia"/>
          <w:color w:val="auto"/>
          <w:kern w:val="2"/>
          <w:sz w:val="30"/>
          <w:szCs w:val="30"/>
          <w:highlight w:val="none"/>
        </w:rPr>
      </w:pPr>
    </w:p>
    <w:p>
      <w:pPr>
        <w:pStyle w:val="16"/>
        <w:spacing w:before="0" w:beforeAutospacing="0" w:after="0" w:afterAutospacing="0" w:line="460" w:lineRule="exact"/>
        <w:ind w:firstLine="600" w:firstLineChars="200"/>
        <w:jc w:val="both"/>
        <w:rPr>
          <w:rFonts w:hint="eastAsia"/>
          <w:color w:val="auto"/>
          <w:kern w:val="2"/>
          <w:sz w:val="30"/>
          <w:szCs w:val="30"/>
          <w:highlight w:val="none"/>
        </w:rPr>
      </w:pPr>
    </w:p>
    <w:p>
      <w:pPr>
        <w:pStyle w:val="16"/>
        <w:spacing w:before="0" w:beforeAutospacing="0" w:after="0" w:afterAutospacing="0" w:line="460" w:lineRule="exact"/>
        <w:ind w:firstLine="600" w:firstLineChars="200"/>
        <w:jc w:val="both"/>
        <w:rPr>
          <w:rFonts w:hint="eastAsia"/>
          <w:color w:val="auto"/>
          <w:kern w:val="2"/>
          <w:sz w:val="30"/>
          <w:szCs w:val="30"/>
          <w:highlight w:val="none"/>
        </w:rPr>
      </w:pPr>
    </w:p>
    <w:p>
      <w:pPr>
        <w:pStyle w:val="16"/>
        <w:spacing w:before="0" w:beforeAutospacing="0" w:after="0" w:afterAutospacing="0" w:line="460" w:lineRule="exact"/>
        <w:ind w:firstLine="600" w:firstLineChars="200"/>
        <w:jc w:val="both"/>
        <w:rPr>
          <w:rFonts w:hint="eastAsia"/>
          <w:color w:val="auto"/>
          <w:kern w:val="2"/>
          <w:sz w:val="30"/>
          <w:szCs w:val="30"/>
          <w:highlight w:val="none"/>
        </w:rPr>
      </w:pPr>
    </w:p>
    <w:p>
      <w:pPr>
        <w:pStyle w:val="16"/>
        <w:numPr>
          <w:ilvl w:val="0"/>
          <w:numId w:val="1"/>
        </w:numPr>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复墨带参数</w:t>
      </w:r>
    </w:p>
    <w:tbl>
      <w:tblPr>
        <w:tblStyle w:val="18"/>
        <w:tblW w:w="97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right"/>
        </w:trPr>
        <w:tc>
          <w:tcPr>
            <w:tcW w:w="9779" w:type="dxa"/>
            <w:gridSpan w:val="2"/>
            <w:noWrap w:val="0"/>
            <w:vAlign w:val="center"/>
          </w:tcPr>
          <w:p>
            <w:pPr>
              <w:jc w:val="center"/>
              <w:rPr>
                <w:rFonts w:ascii="宋体" w:cs="宋体"/>
                <w:kern w:val="0"/>
                <w:sz w:val="30"/>
                <w:szCs w:val="30"/>
                <w:highlight w:val="none"/>
              </w:rPr>
            </w:pPr>
            <w:r>
              <w:rPr>
                <w:rFonts w:hint="eastAsia" w:ascii="宋体" w:hAnsi="宋体" w:cs="宋体"/>
                <w:b/>
                <w:bCs/>
                <w:kern w:val="0"/>
                <w:sz w:val="34"/>
                <w:szCs w:val="34"/>
                <w:highlight w:val="none"/>
              </w:rPr>
              <w:t>名</w:t>
            </w:r>
            <w:r>
              <w:rPr>
                <w:rFonts w:ascii="宋体" w:hAnsi="宋体" w:cs="宋体"/>
                <w:b/>
                <w:bCs/>
                <w:kern w:val="0"/>
                <w:sz w:val="34"/>
                <w:szCs w:val="34"/>
                <w:highlight w:val="none"/>
              </w:rPr>
              <w:t xml:space="preserve"> </w:t>
            </w:r>
            <w:r>
              <w:rPr>
                <w:rFonts w:hint="eastAsia" w:ascii="宋体" w:hAnsi="宋体" w:cs="宋体"/>
                <w:b/>
                <w:bCs/>
                <w:kern w:val="0"/>
                <w:sz w:val="34"/>
                <w:szCs w:val="34"/>
                <w:highlight w:val="none"/>
              </w:rPr>
              <w:t>称：复</w:t>
            </w:r>
            <w:r>
              <w:rPr>
                <w:rFonts w:ascii="宋体" w:hAnsi="宋体" w:cs="宋体"/>
                <w:b/>
                <w:bCs/>
                <w:kern w:val="0"/>
                <w:sz w:val="34"/>
                <w:szCs w:val="34"/>
                <w:highlight w:val="none"/>
              </w:rPr>
              <w:t xml:space="preserve"> </w:t>
            </w:r>
            <w:r>
              <w:rPr>
                <w:rFonts w:hint="eastAsia" w:ascii="宋体" w:hAnsi="宋体" w:cs="宋体"/>
                <w:b/>
                <w:bCs/>
                <w:kern w:val="0"/>
                <w:sz w:val="34"/>
                <w:szCs w:val="34"/>
                <w:highlight w:val="none"/>
              </w:rPr>
              <w:t>墨</w:t>
            </w:r>
            <w:r>
              <w:rPr>
                <w:rFonts w:ascii="宋体" w:hAnsi="宋体" w:cs="宋体"/>
                <w:b/>
                <w:bCs/>
                <w:kern w:val="0"/>
                <w:sz w:val="34"/>
                <w:szCs w:val="34"/>
                <w:highlight w:val="none"/>
              </w:rPr>
              <w:t xml:space="preserve"> </w:t>
            </w:r>
            <w:r>
              <w:rPr>
                <w:rFonts w:hint="eastAsia" w:ascii="宋体" w:hAnsi="宋体" w:cs="宋体"/>
                <w:b/>
                <w:bCs/>
                <w:kern w:val="0"/>
                <w:sz w:val="34"/>
                <w:szCs w:val="34"/>
                <w:highlight w:val="none"/>
              </w:rPr>
              <w:t>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right"/>
        </w:trPr>
        <w:tc>
          <w:tcPr>
            <w:tcW w:w="2411"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规</w:t>
            </w:r>
            <w:r>
              <w:rPr>
                <w:rFonts w:ascii="宋体" w:hAnsi="宋体" w:cs="宋体"/>
                <w:kern w:val="0"/>
                <w:sz w:val="30"/>
                <w:szCs w:val="30"/>
                <w:highlight w:val="none"/>
              </w:rPr>
              <w:t xml:space="preserve">  </w:t>
            </w:r>
            <w:r>
              <w:rPr>
                <w:rFonts w:hint="eastAsia" w:ascii="宋体" w:hAnsi="宋体" w:cs="宋体"/>
                <w:kern w:val="0"/>
                <w:sz w:val="30"/>
                <w:szCs w:val="30"/>
                <w:highlight w:val="none"/>
              </w:rPr>
              <w:t>格</w:t>
            </w:r>
          </w:p>
        </w:tc>
        <w:tc>
          <w:tcPr>
            <w:tcW w:w="7368"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80mm*300m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right"/>
        </w:trPr>
        <w:tc>
          <w:tcPr>
            <w:tcW w:w="2411"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厚</w:t>
            </w:r>
            <w:r>
              <w:rPr>
                <w:rFonts w:ascii="宋体" w:hAnsi="宋体" w:cs="宋体"/>
                <w:kern w:val="0"/>
                <w:sz w:val="30"/>
                <w:szCs w:val="30"/>
                <w:highlight w:val="none"/>
              </w:rPr>
              <w:t xml:space="preserve">  </w:t>
            </w:r>
            <w:r>
              <w:rPr>
                <w:rFonts w:hint="eastAsia" w:ascii="宋体" w:hAnsi="宋体" w:cs="宋体"/>
                <w:kern w:val="0"/>
                <w:sz w:val="30"/>
                <w:szCs w:val="30"/>
                <w:highlight w:val="none"/>
              </w:rPr>
              <w:t>度</w:t>
            </w:r>
          </w:p>
        </w:tc>
        <w:tc>
          <w:tcPr>
            <w:tcW w:w="7368"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7.5</w:t>
            </w:r>
            <w:r>
              <w:rPr>
                <w:rFonts w:hint="eastAsia" w:ascii="宋体" w:hAnsi="宋体" w:cs="宋体"/>
                <w:kern w:val="0"/>
                <w:sz w:val="30"/>
                <w:szCs w:val="30"/>
                <w:highlight w:val="none"/>
              </w:rPr>
              <w:t>±</w:t>
            </w:r>
            <w:r>
              <w:rPr>
                <w:rFonts w:ascii="宋体" w:hAnsi="宋体" w:cs="宋体"/>
                <w:kern w:val="0"/>
                <w:sz w:val="30"/>
                <w:szCs w:val="30"/>
                <w:highlight w:val="none"/>
              </w:rPr>
              <w:t>1.0um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right"/>
        </w:trPr>
        <w:tc>
          <w:tcPr>
            <w:tcW w:w="2411"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成</w:t>
            </w:r>
            <w:r>
              <w:rPr>
                <w:rFonts w:ascii="宋体" w:hAnsi="宋体" w:cs="宋体"/>
                <w:kern w:val="0"/>
                <w:sz w:val="30"/>
                <w:szCs w:val="30"/>
                <w:highlight w:val="none"/>
              </w:rPr>
              <w:t xml:space="preserve">  </w:t>
            </w:r>
            <w:r>
              <w:rPr>
                <w:rFonts w:hint="eastAsia" w:ascii="宋体" w:hAnsi="宋体" w:cs="宋体"/>
                <w:kern w:val="0"/>
                <w:sz w:val="30"/>
                <w:szCs w:val="30"/>
                <w:highlight w:val="none"/>
              </w:rPr>
              <w:t>份</w:t>
            </w:r>
          </w:p>
        </w:tc>
        <w:tc>
          <w:tcPr>
            <w:tcW w:w="7368"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镉、铅、汞、六价铬、多溴联苯（</w:t>
            </w:r>
            <w:r>
              <w:rPr>
                <w:rFonts w:ascii="宋体" w:hAnsi="宋体" w:cs="宋体"/>
                <w:kern w:val="0"/>
                <w:sz w:val="30"/>
                <w:szCs w:val="30"/>
                <w:highlight w:val="none"/>
              </w:rPr>
              <w:t>PBBs</w:t>
            </w:r>
            <w:r>
              <w:rPr>
                <w:rFonts w:hint="eastAsia" w:ascii="宋体" w:hAnsi="宋体" w:cs="宋体"/>
                <w:kern w:val="0"/>
                <w:sz w:val="30"/>
                <w:szCs w:val="30"/>
                <w:highlight w:val="none"/>
              </w:rPr>
              <w:t>）、多溴二苯醚（</w:t>
            </w:r>
            <w:r>
              <w:rPr>
                <w:rFonts w:ascii="宋体" w:hAnsi="宋体" w:cs="宋体"/>
                <w:kern w:val="0"/>
                <w:sz w:val="30"/>
                <w:szCs w:val="30"/>
                <w:highlight w:val="none"/>
              </w:rPr>
              <w:t>PBDEs</w:t>
            </w:r>
            <w:r>
              <w:rPr>
                <w:rFonts w:hint="eastAsia" w:ascii="宋体" w:hAnsi="宋体" w:cs="宋体"/>
                <w:kern w:val="0"/>
                <w:sz w:val="30"/>
                <w:szCs w:val="30"/>
                <w:highlight w:val="none"/>
              </w:rPr>
              <w:t>）、邻苯二甲酸酯、邻苯二甲酸丁苄酯（</w:t>
            </w:r>
            <w:r>
              <w:rPr>
                <w:rFonts w:ascii="宋体" w:hAnsi="宋体" w:cs="宋体"/>
                <w:kern w:val="0"/>
                <w:sz w:val="30"/>
                <w:szCs w:val="30"/>
                <w:highlight w:val="none"/>
              </w:rPr>
              <w:t>BBP</w:t>
            </w:r>
            <w:r>
              <w:rPr>
                <w:rFonts w:hint="eastAsia" w:ascii="宋体" w:hAnsi="宋体" w:cs="宋体"/>
                <w:kern w:val="0"/>
                <w:sz w:val="30"/>
                <w:szCs w:val="30"/>
                <w:highlight w:val="none"/>
              </w:rPr>
              <w:t>）、邻苯二甲酸二酯（</w:t>
            </w:r>
            <w:r>
              <w:rPr>
                <w:rFonts w:ascii="宋体" w:hAnsi="宋体" w:cs="宋体"/>
                <w:kern w:val="0"/>
                <w:sz w:val="30"/>
                <w:szCs w:val="30"/>
                <w:highlight w:val="none"/>
              </w:rPr>
              <w:t>DEHP</w:t>
            </w:r>
            <w:r>
              <w:rPr>
                <w:rFonts w:hint="eastAsia" w:ascii="宋体" w:hAnsi="宋体" w:cs="宋体"/>
                <w:kern w:val="0"/>
                <w:sz w:val="30"/>
                <w:szCs w:val="30"/>
                <w:highlight w:val="none"/>
              </w:rPr>
              <w:t>）、邻苯二甲酸二异丁酯（</w:t>
            </w:r>
            <w:r>
              <w:rPr>
                <w:rFonts w:ascii="宋体" w:hAnsi="宋体" w:cs="宋体"/>
                <w:kern w:val="0"/>
                <w:sz w:val="30"/>
                <w:szCs w:val="30"/>
                <w:highlight w:val="none"/>
              </w:rPr>
              <w:t>DIBP</w:t>
            </w:r>
            <w:r>
              <w:rPr>
                <w:rFonts w:hint="eastAsia" w:ascii="宋体" w:hAnsi="宋体" w:cs="宋体"/>
                <w:kern w:val="0"/>
                <w:sz w:val="30"/>
                <w:szCs w:val="30"/>
                <w:highlight w:val="none"/>
              </w:rPr>
              <w:t>）······</w:t>
            </w:r>
          </w:p>
        </w:tc>
      </w:tr>
    </w:tbl>
    <w:p>
      <w:pPr>
        <w:pStyle w:val="16"/>
        <w:spacing w:before="0" w:beforeAutospacing="0" w:after="0" w:afterAutospacing="0" w:line="460" w:lineRule="exact"/>
        <w:jc w:val="both"/>
        <w:rPr>
          <w:rFonts w:hint="eastAsia"/>
          <w:kern w:val="2"/>
          <w:sz w:val="30"/>
          <w:szCs w:val="30"/>
          <w:highlight w:val="none"/>
        </w:rPr>
      </w:pPr>
    </w:p>
    <w:p>
      <w:pPr>
        <w:pStyle w:val="16"/>
        <w:spacing w:before="0" w:beforeAutospacing="0" w:after="0" w:afterAutospacing="0" w:line="460" w:lineRule="exact"/>
        <w:ind w:firstLine="600" w:firstLineChars="200"/>
        <w:jc w:val="both"/>
        <w:rPr>
          <w:kern w:val="2"/>
          <w:sz w:val="30"/>
          <w:szCs w:val="30"/>
          <w:highlight w:val="none"/>
        </w:rPr>
      </w:pPr>
      <w:r>
        <w:rPr>
          <w:rFonts w:hint="eastAsia"/>
          <w:sz w:val="30"/>
          <w:szCs w:val="30"/>
          <w:highlight w:val="none"/>
        </w:rPr>
        <w:t>(3)</w:t>
      </w:r>
      <w:r>
        <w:rPr>
          <w:rFonts w:hint="eastAsia"/>
          <w:kern w:val="2"/>
          <w:sz w:val="30"/>
          <w:szCs w:val="30"/>
          <w:highlight w:val="none"/>
        </w:rPr>
        <w:t>配置专用袋参数</w:t>
      </w:r>
    </w:p>
    <w:tbl>
      <w:tblPr>
        <w:tblStyle w:val="18"/>
        <w:tblW w:w="97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产品名称</w:t>
            </w:r>
          </w:p>
        </w:tc>
        <w:tc>
          <w:tcPr>
            <w:tcW w:w="7110"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配置专用袋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规格型号</w:t>
            </w:r>
          </w:p>
        </w:tc>
        <w:tc>
          <w:tcPr>
            <w:tcW w:w="7110"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40cm*50cm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执行标准</w:t>
            </w:r>
          </w:p>
        </w:tc>
        <w:tc>
          <w:tcPr>
            <w:tcW w:w="7110"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执行标准：符合</w:t>
            </w:r>
            <w:r>
              <w:rPr>
                <w:rFonts w:ascii="宋体" w:hAnsi="宋体" w:cs="宋体"/>
                <w:kern w:val="0"/>
                <w:sz w:val="30"/>
                <w:szCs w:val="30"/>
                <w:highlight w:val="none"/>
              </w:rPr>
              <w:t>GB/T21661-2008</w:t>
            </w:r>
            <w:r>
              <w:rPr>
                <w:rFonts w:hint="eastAsia" w:ascii="宋体" w:hAnsi="宋体" w:cs="宋体"/>
                <w:kern w:val="0"/>
                <w:sz w:val="30"/>
                <w:szCs w:val="30"/>
                <w:highlight w:val="none"/>
              </w:rPr>
              <w:t>国家食品包装材料要求。</w:t>
            </w:r>
          </w:p>
          <w:p>
            <w:pPr>
              <w:jc w:val="left"/>
              <w:rPr>
                <w:rFonts w:ascii="宋体" w:cs="宋体"/>
                <w:kern w:val="0"/>
                <w:sz w:val="30"/>
                <w:szCs w:val="30"/>
                <w:highlight w:val="none"/>
              </w:rPr>
            </w:pPr>
            <w:r>
              <w:rPr>
                <w:rFonts w:hint="eastAsia" w:ascii="宋体" w:hAnsi="宋体" w:cs="宋体"/>
                <w:kern w:val="0"/>
                <w:sz w:val="30"/>
                <w:szCs w:val="30"/>
                <w:highlight w:val="none"/>
              </w:rPr>
              <w:t>卫生标准：符合</w:t>
            </w:r>
            <w:r>
              <w:rPr>
                <w:rFonts w:ascii="宋体" w:hAnsi="宋体" w:cs="宋体"/>
                <w:kern w:val="0"/>
                <w:sz w:val="30"/>
                <w:szCs w:val="30"/>
                <w:highlight w:val="none"/>
              </w:rPr>
              <w:t>GB9687--88</w:t>
            </w:r>
            <w:r>
              <w:rPr>
                <w:rFonts w:hint="eastAsia" w:ascii="宋体" w:hAnsi="宋体" w:cs="宋体"/>
                <w:kern w:val="0"/>
                <w:sz w:val="30"/>
                <w:szCs w:val="30"/>
                <w:highlight w:val="none"/>
              </w:rPr>
              <w:t>食品包装用聚乙烯成型品卫生标准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技术参数</w:t>
            </w:r>
          </w:p>
        </w:tc>
        <w:tc>
          <w:tcPr>
            <w:tcW w:w="7110"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拉伸强度（</w:t>
            </w:r>
            <w:r>
              <w:rPr>
                <w:rFonts w:ascii="宋体" w:hAnsi="宋体" w:cs="宋体"/>
                <w:kern w:val="0"/>
                <w:sz w:val="30"/>
                <w:szCs w:val="30"/>
                <w:highlight w:val="none"/>
              </w:rPr>
              <w:t>Mpa</w:t>
            </w:r>
            <w:r>
              <w:rPr>
                <w:rFonts w:hint="eastAsia" w:ascii="宋体" w:hAnsi="宋体" w:cs="宋体"/>
                <w:kern w:val="0"/>
                <w:sz w:val="30"/>
                <w:szCs w:val="30"/>
                <w:highlight w:val="none"/>
              </w:rPr>
              <w:t>）：≥</w:t>
            </w:r>
            <w:r>
              <w:rPr>
                <w:rFonts w:ascii="宋体" w:hAnsi="宋体" w:cs="宋体"/>
                <w:kern w:val="0"/>
                <w:sz w:val="30"/>
                <w:szCs w:val="30"/>
                <w:highlight w:val="none"/>
              </w:rPr>
              <w:t>10</w:t>
            </w:r>
          </w:p>
          <w:p>
            <w:pPr>
              <w:jc w:val="left"/>
              <w:rPr>
                <w:rFonts w:ascii="宋体" w:cs="宋体"/>
                <w:kern w:val="0"/>
                <w:sz w:val="30"/>
                <w:szCs w:val="30"/>
                <w:highlight w:val="none"/>
              </w:rPr>
            </w:pPr>
            <w:r>
              <w:rPr>
                <w:rFonts w:hint="eastAsia" w:ascii="宋体" w:hAnsi="宋体" w:cs="宋体"/>
                <w:kern w:val="0"/>
                <w:sz w:val="30"/>
                <w:szCs w:val="30"/>
                <w:highlight w:val="none"/>
              </w:rPr>
              <w:t>断裂标称应变（</w:t>
            </w:r>
            <w:r>
              <w:rPr>
                <w:rFonts w:ascii="宋体" w:hAnsi="宋体" w:cs="宋体"/>
                <w:kern w:val="0"/>
                <w:sz w:val="30"/>
                <w:szCs w:val="30"/>
                <w:highlight w:val="none"/>
              </w:rPr>
              <w:t>%</w:t>
            </w:r>
            <w:r>
              <w:rPr>
                <w:rFonts w:hint="eastAsia" w:ascii="宋体" w:hAnsi="宋体" w:cs="宋体"/>
                <w:kern w:val="0"/>
                <w:sz w:val="30"/>
                <w:szCs w:val="30"/>
                <w:highlight w:val="none"/>
              </w:rPr>
              <w:t>）：≥</w:t>
            </w:r>
            <w:r>
              <w:rPr>
                <w:rFonts w:ascii="宋体" w:hAnsi="宋体" w:cs="宋体"/>
                <w:kern w:val="0"/>
                <w:sz w:val="30"/>
                <w:szCs w:val="30"/>
                <w:highlight w:val="none"/>
              </w:rPr>
              <w:t>100</w:t>
            </w:r>
          </w:p>
          <w:p>
            <w:pPr>
              <w:jc w:val="left"/>
              <w:rPr>
                <w:rFonts w:ascii="宋体" w:cs="宋体"/>
                <w:kern w:val="0"/>
                <w:sz w:val="30"/>
                <w:szCs w:val="30"/>
                <w:highlight w:val="none"/>
              </w:rPr>
            </w:pPr>
            <w:r>
              <w:rPr>
                <w:rFonts w:hint="eastAsia" w:ascii="宋体" w:hAnsi="宋体" w:cs="宋体"/>
                <w:kern w:val="0"/>
                <w:sz w:val="30"/>
                <w:szCs w:val="30"/>
                <w:highlight w:val="none"/>
              </w:rPr>
              <w:t>直角撕裂度（</w:t>
            </w:r>
            <w:r>
              <w:rPr>
                <w:rFonts w:ascii="宋体" w:hAnsi="宋体" w:cs="宋体"/>
                <w:kern w:val="0"/>
                <w:sz w:val="30"/>
                <w:szCs w:val="30"/>
                <w:highlight w:val="none"/>
              </w:rPr>
              <w:t>KN/m</w:t>
            </w:r>
            <w:r>
              <w:rPr>
                <w:rFonts w:hint="eastAsia" w:ascii="宋体" w:hAnsi="宋体" w:cs="宋体"/>
                <w:kern w:val="0"/>
                <w:sz w:val="30"/>
                <w:szCs w:val="30"/>
                <w:highlight w:val="none"/>
              </w:rPr>
              <w:t>）：≥</w:t>
            </w:r>
            <w:r>
              <w:rPr>
                <w:rFonts w:ascii="宋体" w:hAnsi="宋体" w:cs="宋体"/>
                <w:kern w:val="0"/>
                <w:sz w:val="30"/>
                <w:szCs w:val="30"/>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感官</w:t>
            </w:r>
          </w:p>
        </w:tc>
        <w:tc>
          <w:tcPr>
            <w:tcW w:w="7110"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无论是塑料薄膜和成品袋制品，都应均匀、平整不应存在有碍使用的气泡、穿孔（不包括透气孔）。塑化不良、鱼眼、僵块、丝纹、挂料线、皱折（不包括折边）等制造上的质量缺陷及瑕疵，有印刷的薄膜和袋制品，油墨均匀、图案清晰、完整、印刷剥离率＜</w:t>
            </w:r>
            <w:r>
              <w:rPr>
                <w:rFonts w:ascii="宋体" w:hAnsi="宋体" w:cs="宋体"/>
                <w:kern w:val="0"/>
                <w:sz w:val="30"/>
                <w:szCs w:val="30"/>
                <w:highlight w:val="none"/>
              </w:rPr>
              <w:t>20%,</w:t>
            </w:r>
            <w:r>
              <w:rPr>
                <w:rFonts w:hint="eastAsia" w:ascii="宋体" w:hAnsi="宋体" w:cs="宋体"/>
                <w:kern w:val="0"/>
                <w:sz w:val="30"/>
                <w:szCs w:val="30"/>
                <w:highlight w:val="none"/>
              </w:rPr>
              <w:t>套印误差＜</w:t>
            </w:r>
            <w:r>
              <w:rPr>
                <w:rFonts w:ascii="宋体" w:hAnsi="宋体" w:cs="宋体"/>
                <w:kern w:val="0"/>
                <w:sz w:val="30"/>
                <w:szCs w:val="30"/>
                <w:highlight w:val="none"/>
              </w:rPr>
              <w:t>1mm</w:t>
            </w:r>
            <w:r>
              <w:rPr>
                <w:rFonts w:hint="eastAsia" w:ascii="宋体" w:hAnsi="宋体" w:cs="宋体"/>
                <w:kern w:val="0"/>
                <w:sz w:val="30"/>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材料</w:t>
            </w:r>
          </w:p>
        </w:tc>
        <w:tc>
          <w:tcPr>
            <w:tcW w:w="7110"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食品级聚乙烯，不加任何回料，可直接接触食品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用途</w:t>
            </w:r>
          </w:p>
        </w:tc>
        <w:tc>
          <w:tcPr>
            <w:tcW w:w="7110"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产品透明无异味，结实耐用，防水防油防潮，体积小数量多，取用方便，底部点断处平整易撕，可承受</w:t>
            </w:r>
            <w:r>
              <w:rPr>
                <w:rFonts w:ascii="宋体" w:hAnsi="宋体" w:cs="宋体"/>
                <w:kern w:val="0"/>
                <w:sz w:val="30"/>
                <w:szCs w:val="30"/>
                <w:highlight w:val="none"/>
              </w:rPr>
              <w:t>10</w:t>
            </w:r>
            <w:r>
              <w:rPr>
                <w:rFonts w:hint="eastAsia" w:ascii="宋体" w:hAnsi="宋体" w:cs="宋体"/>
                <w:kern w:val="0"/>
                <w:sz w:val="30"/>
                <w:szCs w:val="30"/>
                <w:highlight w:val="none"/>
              </w:rPr>
              <w:t>公斤以上的重物。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其他要求</w:t>
            </w:r>
          </w:p>
        </w:tc>
        <w:tc>
          <w:tcPr>
            <w:tcW w:w="7110" w:type="dxa"/>
            <w:noWrap w:val="0"/>
            <w:vAlign w:val="center"/>
          </w:tcPr>
          <w:p>
            <w:pPr>
              <w:numPr>
                <w:ilvl w:val="0"/>
                <w:numId w:val="2"/>
              </w:numPr>
              <w:jc w:val="left"/>
              <w:rPr>
                <w:rFonts w:ascii="宋体" w:cs="宋体"/>
                <w:kern w:val="0"/>
                <w:sz w:val="30"/>
                <w:szCs w:val="30"/>
                <w:highlight w:val="none"/>
              </w:rPr>
            </w:pPr>
            <w:r>
              <w:rPr>
                <w:rFonts w:hint="eastAsia" w:ascii="宋体" w:hAnsi="宋体" w:cs="宋体"/>
                <w:kern w:val="0"/>
                <w:sz w:val="30"/>
                <w:szCs w:val="30"/>
                <w:highlight w:val="none"/>
              </w:rPr>
              <w:t>产品须符合《中华人民共和国食品安全法》及</w:t>
            </w:r>
            <w:r>
              <w:rPr>
                <w:rFonts w:ascii="宋体" w:hAnsi="宋体" w:cs="宋体"/>
                <w:kern w:val="0"/>
                <w:sz w:val="30"/>
                <w:szCs w:val="30"/>
                <w:highlight w:val="none"/>
              </w:rPr>
              <w:t>2008</w:t>
            </w:r>
            <w:r>
              <w:rPr>
                <w:rFonts w:hint="eastAsia" w:ascii="宋体" w:hAnsi="宋体" w:cs="宋体"/>
                <w:kern w:val="0"/>
                <w:sz w:val="30"/>
                <w:szCs w:val="30"/>
                <w:highlight w:val="none"/>
              </w:rPr>
              <w:t>年国家关于塑料包装袋的各项标准规定，须提供产品有效期内质检报告，具备国家</w:t>
            </w:r>
            <w:r>
              <w:rPr>
                <w:rFonts w:ascii="宋体" w:hAnsi="宋体" w:cs="宋体"/>
                <w:kern w:val="0"/>
                <w:sz w:val="30"/>
                <w:szCs w:val="30"/>
                <w:highlight w:val="none"/>
              </w:rPr>
              <w:t>QS</w:t>
            </w:r>
            <w:r>
              <w:rPr>
                <w:rFonts w:hint="eastAsia" w:ascii="宋体" w:hAnsi="宋体" w:cs="宋体"/>
                <w:kern w:val="0"/>
                <w:sz w:val="30"/>
                <w:szCs w:val="30"/>
                <w:highlight w:val="none"/>
              </w:rPr>
              <w:t>认证</w:t>
            </w:r>
            <w:r>
              <w:rPr>
                <w:rFonts w:hint="eastAsia" w:ascii="宋体" w:hAnsi="宋体" w:cs="宋体"/>
                <w:b/>
                <w:bCs/>
                <w:color w:val="auto"/>
                <w:kern w:val="0"/>
                <w:sz w:val="30"/>
                <w:szCs w:val="30"/>
                <w:highlight w:val="yellow"/>
                <w:lang w:eastAsia="zh-CN"/>
              </w:rPr>
              <w:t>或国家</w:t>
            </w:r>
            <w:r>
              <w:rPr>
                <w:rFonts w:hint="eastAsia" w:ascii="宋体" w:hAnsi="宋体" w:cs="宋体"/>
                <w:b/>
                <w:bCs/>
                <w:color w:val="auto"/>
                <w:kern w:val="0"/>
                <w:sz w:val="30"/>
                <w:szCs w:val="30"/>
                <w:highlight w:val="yellow"/>
                <w:lang w:val="en-US" w:eastAsia="zh-CN"/>
              </w:rPr>
              <w:t>ISO认证</w:t>
            </w:r>
            <w:r>
              <w:rPr>
                <w:rFonts w:hint="eastAsia" w:ascii="宋体" w:hAnsi="宋体" w:cs="宋体"/>
                <w:b/>
                <w:bCs/>
                <w:color w:val="auto"/>
                <w:kern w:val="0"/>
                <w:sz w:val="30"/>
                <w:szCs w:val="30"/>
                <w:highlight w:val="yellow"/>
              </w:rPr>
              <w:t>，</w:t>
            </w:r>
            <w:r>
              <w:rPr>
                <w:rFonts w:hint="eastAsia" w:ascii="宋体" w:hAnsi="宋体" w:cs="宋体"/>
                <w:kern w:val="0"/>
                <w:sz w:val="30"/>
                <w:szCs w:val="30"/>
                <w:highlight w:val="none"/>
              </w:rPr>
              <w:t>采用</w:t>
            </w:r>
            <w:r>
              <w:rPr>
                <w:rFonts w:ascii="宋体" w:hAnsi="宋体" w:cs="宋体"/>
                <w:kern w:val="0"/>
                <w:sz w:val="30"/>
                <w:szCs w:val="30"/>
                <w:highlight w:val="none"/>
              </w:rPr>
              <w:t>100%</w:t>
            </w:r>
            <w:r>
              <w:rPr>
                <w:rFonts w:hint="eastAsia" w:ascii="宋体" w:hAnsi="宋体" w:cs="宋体"/>
                <w:kern w:val="0"/>
                <w:sz w:val="30"/>
                <w:szCs w:val="30"/>
                <w:highlight w:val="none"/>
              </w:rPr>
              <w:t>全新原材料（聚乙烯等）；</w:t>
            </w:r>
          </w:p>
          <w:p>
            <w:pPr>
              <w:numPr>
                <w:ilvl w:val="0"/>
                <w:numId w:val="2"/>
              </w:numPr>
              <w:jc w:val="left"/>
              <w:rPr>
                <w:rFonts w:ascii="宋体" w:cs="宋体"/>
                <w:kern w:val="0"/>
                <w:sz w:val="30"/>
                <w:szCs w:val="30"/>
                <w:highlight w:val="none"/>
              </w:rPr>
            </w:pPr>
            <w:r>
              <w:rPr>
                <w:rFonts w:hint="eastAsia" w:ascii="宋体" w:hAnsi="宋体" w:cs="宋体"/>
                <w:kern w:val="0"/>
                <w:sz w:val="30"/>
                <w:szCs w:val="30"/>
                <w:highlight w:val="none"/>
              </w:rPr>
              <w:t>外观要求质料纯净均匀、印刷精美、亮泽、无异味、无染色；</w:t>
            </w:r>
          </w:p>
          <w:p>
            <w:pPr>
              <w:numPr>
                <w:ilvl w:val="0"/>
                <w:numId w:val="2"/>
              </w:numPr>
              <w:jc w:val="left"/>
              <w:rPr>
                <w:rFonts w:ascii="宋体" w:cs="宋体"/>
                <w:kern w:val="0"/>
                <w:sz w:val="30"/>
                <w:szCs w:val="30"/>
                <w:highlight w:val="none"/>
              </w:rPr>
            </w:pPr>
            <w:r>
              <w:rPr>
                <w:rFonts w:hint="eastAsia" w:ascii="宋体" w:hAnsi="宋体" w:cs="宋体"/>
                <w:kern w:val="0"/>
                <w:sz w:val="30"/>
                <w:szCs w:val="30"/>
                <w:highlight w:val="none"/>
              </w:rPr>
              <w:t>配置袋拎带开口长度为总长度的</w:t>
            </w:r>
            <w:r>
              <w:rPr>
                <w:rFonts w:ascii="宋体" w:hAnsi="宋体" w:cs="宋体"/>
                <w:kern w:val="0"/>
                <w:sz w:val="30"/>
                <w:szCs w:val="30"/>
                <w:highlight w:val="none"/>
              </w:rPr>
              <w:t>25%</w:t>
            </w:r>
            <w:r>
              <w:rPr>
                <w:rFonts w:hint="eastAsia" w:ascii="宋体" w:hAnsi="宋体" w:cs="宋体"/>
                <w:kern w:val="0"/>
                <w:sz w:val="30"/>
                <w:szCs w:val="30"/>
                <w:highlight w:val="none"/>
              </w:rPr>
              <w:t>，误差不得超过±</w:t>
            </w:r>
            <w:r>
              <w:rPr>
                <w:rFonts w:ascii="宋体" w:hAnsi="宋体" w:cs="宋体"/>
                <w:kern w:val="0"/>
                <w:sz w:val="30"/>
                <w:szCs w:val="30"/>
                <w:highlight w:val="none"/>
              </w:rPr>
              <w:t>3%</w:t>
            </w:r>
            <w:r>
              <w:rPr>
                <w:rFonts w:hint="eastAsia" w:ascii="宋体" w:hAnsi="宋体" w:cs="宋体"/>
                <w:kern w:val="0"/>
                <w:sz w:val="30"/>
                <w:szCs w:val="30"/>
                <w:highlight w:val="none"/>
              </w:rPr>
              <w:t>；</w:t>
            </w:r>
          </w:p>
          <w:p>
            <w:pPr>
              <w:numPr>
                <w:ilvl w:val="0"/>
                <w:numId w:val="2"/>
              </w:numPr>
              <w:jc w:val="left"/>
              <w:rPr>
                <w:rFonts w:ascii="宋体" w:cs="宋体"/>
                <w:kern w:val="0"/>
                <w:sz w:val="30"/>
                <w:szCs w:val="30"/>
                <w:highlight w:val="none"/>
              </w:rPr>
            </w:pPr>
            <w:r>
              <w:rPr>
                <w:rFonts w:hint="eastAsia" w:ascii="宋体" w:hAnsi="宋体" w:cs="宋体"/>
                <w:kern w:val="0"/>
                <w:sz w:val="30"/>
                <w:szCs w:val="30"/>
                <w:highlight w:val="none"/>
              </w:rPr>
              <w:t>单面厚度、长度、宽度误差不得低于采购要求的</w:t>
            </w:r>
            <w:r>
              <w:rPr>
                <w:rFonts w:ascii="宋体" w:hAnsi="宋体" w:cs="宋体"/>
                <w:kern w:val="0"/>
                <w:sz w:val="30"/>
                <w:szCs w:val="30"/>
                <w:highlight w:val="none"/>
              </w:rPr>
              <w:t>1%</w:t>
            </w:r>
            <w:r>
              <w:rPr>
                <w:rFonts w:hint="eastAsia" w:ascii="宋体" w:hAnsi="宋体" w:cs="宋体"/>
                <w:kern w:val="0"/>
                <w:sz w:val="30"/>
                <w:szCs w:val="30"/>
                <w:highlight w:val="none"/>
              </w:rPr>
              <w:t>，净重不得低于采购要求；</w:t>
            </w:r>
          </w:p>
          <w:p>
            <w:pPr>
              <w:numPr>
                <w:ilvl w:val="0"/>
                <w:numId w:val="2"/>
              </w:numPr>
              <w:jc w:val="left"/>
              <w:rPr>
                <w:rFonts w:ascii="宋体" w:cs="宋体"/>
                <w:kern w:val="0"/>
                <w:sz w:val="30"/>
                <w:szCs w:val="30"/>
                <w:highlight w:val="none"/>
              </w:rPr>
            </w:pPr>
            <w:r>
              <w:rPr>
                <w:rFonts w:hint="eastAsia" w:ascii="宋体" w:hAnsi="宋体" w:cs="宋体"/>
                <w:kern w:val="0"/>
                <w:sz w:val="30"/>
                <w:szCs w:val="30"/>
                <w:highlight w:val="none"/>
              </w:rPr>
              <w:t>在塑料袋正下方处标有可回收、</w:t>
            </w:r>
            <w:r>
              <w:rPr>
                <w:rFonts w:ascii="宋体" w:hAnsi="宋体" w:cs="宋体"/>
                <w:kern w:val="0"/>
                <w:sz w:val="30"/>
                <w:szCs w:val="30"/>
                <w:highlight w:val="none"/>
              </w:rPr>
              <w:t>QS</w:t>
            </w:r>
            <w:r>
              <w:rPr>
                <w:rFonts w:hint="eastAsia" w:ascii="宋体" w:hAnsi="宋体" w:cs="宋体"/>
                <w:kern w:val="0"/>
                <w:sz w:val="30"/>
                <w:szCs w:val="30"/>
                <w:highlight w:val="none"/>
              </w:rPr>
              <w:t>标志</w:t>
            </w:r>
            <w:r>
              <w:rPr>
                <w:rFonts w:hint="eastAsia" w:ascii="宋体" w:hAnsi="宋体" w:cs="宋体"/>
                <w:color w:val="auto"/>
                <w:kern w:val="0"/>
                <w:sz w:val="30"/>
                <w:szCs w:val="30"/>
                <w:highlight w:val="yellow"/>
                <w:lang w:eastAsia="zh-CN"/>
              </w:rPr>
              <w:t>或</w:t>
            </w:r>
            <w:r>
              <w:rPr>
                <w:rFonts w:hint="eastAsia" w:ascii="宋体" w:hAnsi="宋体" w:cs="宋体"/>
                <w:b/>
                <w:bCs/>
                <w:color w:val="auto"/>
                <w:kern w:val="0"/>
                <w:sz w:val="30"/>
                <w:szCs w:val="30"/>
                <w:highlight w:val="yellow"/>
                <w:lang w:val="en-US" w:eastAsia="zh-CN"/>
              </w:rPr>
              <w:t>ISO标志</w:t>
            </w:r>
            <w:r>
              <w:rPr>
                <w:rFonts w:hint="eastAsia" w:ascii="宋体" w:hAnsi="宋体" w:cs="宋体"/>
                <w:kern w:val="0"/>
                <w:sz w:val="30"/>
                <w:szCs w:val="30"/>
                <w:highlight w:val="none"/>
              </w:rPr>
              <w:t>及生产许可证号、卫生许可证号、安全提示语、生产企业名称地址、电话、规格承重等字样，以及招标单位的标示。</w:t>
            </w:r>
          </w:p>
        </w:tc>
      </w:tr>
    </w:tbl>
    <w:p>
      <w:pPr>
        <w:ind w:left="-540" w:leftChars="-257" w:right="-1413" w:rightChars="-673"/>
        <w:rPr>
          <w:highlight w:val="none"/>
        </w:rPr>
      </w:pPr>
    </w:p>
    <w:p>
      <w:pPr>
        <w:pStyle w:val="16"/>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lang w:val="en-US" w:eastAsia="zh-CN"/>
        </w:rPr>
        <w:t>8</w:t>
      </w:r>
      <w:r>
        <w:rPr>
          <w:rFonts w:hint="eastAsia"/>
          <w:b/>
          <w:bCs/>
          <w:kern w:val="2"/>
          <w:sz w:val="30"/>
          <w:szCs w:val="30"/>
          <w:highlight w:val="none"/>
        </w:rPr>
        <w:t>、售后要求：</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lang w:val="en-US" w:eastAsia="zh-CN"/>
        </w:rPr>
        <w:t>8</w:t>
      </w:r>
      <w:r>
        <w:rPr>
          <w:rFonts w:hint="eastAsia"/>
          <w:kern w:val="2"/>
          <w:sz w:val="30"/>
          <w:szCs w:val="30"/>
          <w:highlight w:val="none"/>
        </w:rPr>
        <w:t>.1质保期自验收合格之日起不得少于</w:t>
      </w:r>
      <w:r>
        <w:rPr>
          <w:rFonts w:hint="eastAsia"/>
          <w:b w:val="0"/>
          <w:bCs w:val="0"/>
          <w:kern w:val="2"/>
          <w:sz w:val="30"/>
          <w:szCs w:val="30"/>
          <w:highlight w:val="none"/>
          <w:lang w:val="en-US" w:eastAsia="zh-CN"/>
        </w:rPr>
        <w:t>12</w:t>
      </w:r>
      <w:r>
        <w:rPr>
          <w:rFonts w:hint="eastAsia"/>
          <w:kern w:val="2"/>
          <w:sz w:val="30"/>
          <w:szCs w:val="30"/>
          <w:highlight w:val="none"/>
        </w:rPr>
        <w:t>个月。</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lang w:val="en-US" w:eastAsia="zh-CN"/>
        </w:rPr>
        <w:t>8</w:t>
      </w:r>
      <w:r>
        <w:rPr>
          <w:rFonts w:hint="eastAsia"/>
          <w:kern w:val="2"/>
          <w:sz w:val="30"/>
          <w:szCs w:val="30"/>
          <w:highlight w:val="none"/>
        </w:rPr>
        <w:t>.2响应供应商须提供完善的售后服务，如果货物</w:t>
      </w:r>
      <w:r>
        <w:rPr>
          <w:rFonts w:hint="eastAsia"/>
          <w:kern w:val="2"/>
          <w:sz w:val="30"/>
          <w:szCs w:val="30"/>
          <w:highlight w:val="none"/>
          <w:lang w:eastAsia="zh-CN"/>
        </w:rPr>
        <w:t>在质保期内</w:t>
      </w:r>
      <w:r>
        <w:rPr>
          <w:rFonts w:hint="eastAsia"/>
          <w:kern w:val="2"/>
          <w:sz w:val="30"/>
          <w:szCs w:val="30"/>
          <w:highlight w:val="none"/>
        </w:rPr>
        <w:t>出现质量问题</w:t>
      </w:r>
      <w:r>
        <w:rPr>
          <w:rFonts w:hint="eastAsia"/>
          <w:kern w:val="2"/>
          <w:sz w:val="30"/>
          <w:szCs w:val="30"/>
          <w:highlight w:val="none"/>
          <w:lang w:eastAsia="zh-CN"/>
        </w:rPr>
        <w:t>及款式问题</w:t>
      </w:r>
      <w:r>
        <w:rPr>
          <w:rFonts w:hint="eastAsia"/>
          <w:kern w:val="2"/>
          <w:sz w:val="30"/>
          <w:szCs w:val="30"/>
          <w:highlight w:val="none"/>
        </w:rPr>
        <w:t>，响应供应商须在接到采购人电话通知后24小时内无条件给予退换服务。</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lang w:val="en-US" w:eastAsia="zh-CN"/>
        </w:rPr>
        <w:t>9</w:t>
      </w:r>
      <w:r>
        <w:rPr>
          <w:rFonts w:hint="eastAsia"/>
          <w:kern w:val="2"/>
          <w:sz w:val="30"/>
          <w:szCs w:val="30"/>
          <w:highlight w:val="none"/>
        </w:rPr>
        <w:t>、违约赔偿：</w:t>
      </w:r>
    </w:p>
    <w:p>
      <w:pPr>
        <w:pStyle w:val="16"/>
        <w:spacing w:before="0" w:beforeAutospacing="0" w:after="0" w:afterAutospacing="0" w:line="460" w:lineRule="exact"/>
        <w:ind w:firstLine="600" w:firstLineChars="200"/>
        <w:jc w:val="both"/>
        <w:rPr>
          <w:rFonts w:hint="eastAsia" w:ascii="宋体" w:hAnsi="宋体" w:eastAsia="宋体" w:cs="宋体"/>
          <w:color w:val="auto"/>
          <w:sz w:val="30"/>
          <w:szCs w:val="30"/>
          <w:highlight w:val="none"/>
          <w:lang w:eastAsia="zh-CN"/>
        </w:rPr>
      </w:pPr>
      <w:r>
        <w:rPr>
          <w:rFonts w:hint="eastAsia"/>
          <w:kern w:val="2"/>
          <w:sz w:val="30"/>
          <w:szCs w:val="30"/>
          <w:highlight w:val="none"/>
          <w:lang w:val="en-US" w:eastAsia="zh-CN"/>
        </w:rPr>
        <w:t>9</w:t>
      </w:r>
      <w:r>
        <w:rPr>
          <w:rFonts w:hint="eastAsia"/>
          <w:kern w:val="2"/>
          <w:sz w:val="30"/>
          <w:szCs w:val="30"/>
          <w:highlight w:val="none"/>
        </w:rPr>
        <w:t>.1</w:t>
      </w:r>
      <w:r>
        <w:rPr>
          <w:rFonts w:hint="eastAsia" w:ascii="宋体" w:hAnsi="宋体" w:eastAsia="宋体" w:cs="宋体"/>
          <w:sz w:val="30"/>
          <w:szCs w:val="30"/>
          <w:highlight w:val="none"/>
        </w:rPr>
        <w:t>如果</w:t>
      </w:r>
      <w:r>
        <w:rPr>
          <w:rFonts w:hint="eastAsia" w:cs="宋体"/>
          <w:sz w:val="30"/>
          <w:szCs w:val="30"/>
          <w:highlight w:val="none"/>
          <w:lang w:eastAsia="zh-CN"/>
        </w:rPr>
        <w:t>供货商</w:t>
      </w:r>
      <w:r>
        <w:rPr>
          <w:rFonts w:hint="eastAsia" w:ascii="宋体" w:hAnsi="宋体" w:eastAsia="宋体" w:cs="宋体"/>
          <w:sz w:val="30"/>
          <w:szCs w:val="30"/>
          <w:highlight w:val="none"/>
        </w:rPr>
        <w:t>没有按照合同规定</w:t>
      </w:r>
      <w:r>
        <w:rPr>
          <w:rFonts w:hint="eastAsia" w:ascii="宋体" w:hAnsi="宋体" w:eastAsia="宋体" w:cs="宋体"/>
          <w:color w:val="auto"/>
          <w:sz w:val="30"/>
          <w:szCs w:val="30"/>
          <w:highlight w:val="none"/>
        </w:rPr>
        <w:t>的时间交货和提供服务，</w:t>
      </w:r>
      <w:r>
        <w:rPr>
          <w:rFonts w:hint="eastAsia" w:cs="宋体"/>
          <w:color w:val="auto"/>
          <w:sz w:val="30"/>
          <w:szCs w:val="30"/>
          <w:highlight w:val="none"/>
          <w:lang w:eastAsia="zh-CN"/>
        </w:rPr>
        <w:t>采购人</w:t>
      </w:r>
      <w:r>
        <w:rPr>
          <w:rFonts w:hint="eastAsia" w:ascii="宋体" w:hAnsi="宋体" w:eastAsia="宋体" w:cs="宋体"/>
          <w:color w:val="auto"/>
          <w:sz w:val="30"/>
          <w:szCs w:val="30"/>
          <w:highlight w:val="none"/>
        </w:rPr>
        <w:t>可从货款中扣除违约赔偿费，赔偿费应按每迟交一</w:t>
      </w:r>
      <w:r>
        <w:rPr>
          <w:rFonts w:hint="eastAsia" w:ascii="宋体" w:hAnsi="宋体" w:eastAsia="宋体" w:cs="宋体"/>
          <w:color w:val="auto"/>
          <w:sz w:val="30"/>
          <w:szCs w:val="30"/>
          <w:highlight w:val="none"/>
          <w:lang w:eastAsia="zh-CN"/>
        </w:rPr>
        <w:t>天</w:t>
      </w:r>
      <w:r>
        <w:rPr>
          <w:rFonts w:hint="eastAsia" w:ascii="宋体" w:hAnsi="宋体" w:eastAsia="宋体" w:cs="宋体"/>
          <w:color w:val="auto"/>
          <w:sz w:val="30"/>
          <w:szCs w:val="30"/>
          <w:highlight w:val="none"/>
        </w:rPr>
        <w:t>，按合同总价的</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t>计收</w:t>
      </w:r>
      <w:r>
        <w:rPr>
          <w:rFonts w:hint="eastAsia" w:cs="宋体"/>
          <w:color w:val="auto"/>
          <w:sz w:val="30"/>
          <w:szCs w:val="30"/>
          <w:highlight w:val="none"/>
          <w:lang w:eastAsia="zh-CN"/>
        </w:rPr>
        <w:t>，不足一天超过</w:t>
      </w:r>
      <w:r>
        <w:rPr>
          <w:rFonts w:hint="eastAsia" w:cs="宋体"/>
          <w:color w:val="auto"/>
          <w:sz w:val="30"/>
          <w:szCs w:val="30"/>
          <w:highlight w:val="none"/>
          <w:lang w:val="en-US" w:eastAsia="zh-CN"/>
        </w:rPr>
        <w:t>12小时按一天计算</w:t>
      </w:r>
      <w:r>
        <w:rPr>
          <w:rFonts w:hint="eastAsia" w:cs="宋体"/>
          <w:color w:val="auto"/>
          <w:sz w:val="30"/>
          <w:szCs w:val="30"/>
          <w:highlight w:val="none"/>
          <w:lang w:eastAsia="zh-CN"/>
        </w:rPr>
        <w:t>，</w:t>
      </w:r>
      <w:r>
        <w:rPr>
          <w:rFonts w:hint="eastAsia" w:ascii="宋体" w:hAnsi="宋体" w:eastAsia="宋体" w:cs="宋体"/>
          <w:color w:val="auto"/>
          <w:sz w:val="30"/>
          <w:szCs w:val="30"/>
          <w:highlight w:val="none"/>
        </w:rPr>
        <w:t>违约赔偿费的最高限额为合同总价的10%。如果</w:t>
      </w:r>
      <w:r>
        <w:rPr>
          <w:rFonts w:hint="eastAsia" w:cs="宋体"/>
          <w:color w:val="auto"/>
          <w:sz w:val="30"/>
          <w:szCs w:val="30"/>
          <w:highlight w:val="none"/>
          <w:lang w:eastAsia="zh-CN"/>
        </w:rPr>
        <w:t>违约金达到的最高限额后供货商仍不能交货，采购人有权单方面</w:t>
      </w:r>
      <w:r>
        <w:rPr>
          <w:rFonts w:hint="eastAsia" w:ascii="宋体" w:hAnsi="宋体" w:eastAsia="宋体" w:cs="宋体"/>
          <w:color w:val="auto"/>
          <w:sz w:val="30"/>
          <w:szCs w:val="30"/>
          <w:highlight w:val="none"/>
        </w:rPr>
        <w:t>终止合同</w:t>
      </w:r>
      <w:r>
        <w:rPr>
          <w:rFonts w:hint="eastAsia" w:cs="宋体"/>
          <w:color w:val="auto"/>
          <w:sz w:val="30"/>
          <w:szCs w:val="30"/>
          <w:highlight w:val="none"/>
          <w:lang w:eastAsia="zh-CN"/>
        </w:rPr>
        <w:t>，没收履约保证金，并要求供货商赔偿损失。</w:t>
      </w:r>
    </w:p>
    <w:p>
      <w:pPr>
        <w:pStyle w:val="16"/>
        <w:spacing w:before="0" w:beforeAutospacing="0" w:after="0" w:afterAutospacing="0" w:line="460" w:lineRule="exact"/>
        <w:ind w:firstLine="600" w:firstLineChars="200"/>
        <w:jc w:val="both"/>
        <w:rPr>
          <w:rFonts w:hint="eastAsia"/>
          <w:color w:val="auto"/>
          <w:kern w:val="2"/>
          <w:sz w:val="30"/>
          <w:szCs w:val="30"/>
        </w:rPr>
      </w:pPr>
      <w:r>
        <w:rPr>
          <w:rFonts w:hint="eastAsia"/>
          <w:color w:val="auto"/>
          <w:kern w:val="2"/>
          <w:sz w:val="30"/>
          <w:szCs w:val="30"/>
          <w:lang w:val="en-US" w:eastAsia="zh-CN"/>
        </w:rPr>
        <w:t>9</w:t>
      </w:r>
      <w:r>
        <w:rPr>
          <w:rFonts w:hint="eastAsia"/>
          <w:color w:val="auto"/>
          <w:kern w:val="2"/>
          <w:sz w:val="30"/>
          <w:szCs w:val="30"/>
        </w:rPr>
        <w:t>.2</w:t>
      </w:r>
      <w:r>
        <w:rPr>
          <w:rFonts w:hint="eastAsia"/>
          <w:color w:val="auto"/>
          <w:kern w:val="2"/>
          <w:sz w:val="30"/>
          <w:szCs w:val="30"/>
          <w:lang w:eastAsia="zh-CN"/>
        </w:rPr>
        <w:t>质保期内，除不可抗力外，如果货物出现质量问题无法正常使用，投标供应商须在响应文件中承诺的时间内提供退换服务，响应时间每超过一天（不足一天超过12小时算一天）扣除质保金的5%，以此类推，在质保金不足全额的情况下，</w:t>
      </w:r>
      <w:r>
        <w:rPr>
          <w:rFonts w:hint="eastAsia" w:cs="宋体"/>
          <w:color w:val="auto"/>
          <w:sz w:val="30"/>
          <w:szCs w:val="30"/>
          <w:highlight w:val="none"/>
          <w:lang w:eastAsia="zh-CN"/>
        </w:rPr>
        <w:t>供应商</w:t>
      </w:r>
      <w:r>
        <w:rPr>
          <w:rFonts w:hint="eastAsia"/>
          <w:color w:val="auto"/>
          <w:kern w:val="2"/>
          <w:sz w:val="30"/>
          <w:szCs w:val="30"/>
          <w:lang w:eastAsia="zh-CN"/>
        </w:rPr>
        <w:t>有义务补足合同约定的质保金。如果连续超过1个月，</w:t>
      </w:r>
      <w:r>
        <w:rPr>
          <w:rFonts w:hint="eastAsia" w:cs="宋体"/>
          <w:color w:val="auto"/>
          <w:sz w:val="30"/>
          <w:szCs w:val="30"/>
          <w:highlight w:val="none"/>
          <w:lang w:eastAsia="zh-CN"/>
        </w:rPr>
        <w:t>采购人</w:t>
      </w:r>
      <w:r>
        <w:rPr>
          <w:rFonts w:hint="eastAsia"/>
          <w:color w:val="auto"/>
          <w:kern w:val="2"/>
          <w:sz w:val="30"/>
          <w:szCs w:val="30"/>
          <w:lang w:eastAsia="zh-CN"/>
        </w:rPr>
        <w:t>有权利终止合同且不支付任何费用。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10</w:t>
      </w:r>
      <w:r>
        <w:rPr>
          <w:rFonts w:hint="eastAsia"/>
          <w:kern w:val="2"/>
          <w:sz w:val="30"/>
          <w:szCs w:val="30"/>
        </w:rPr>
        <w:t>.其他要求：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谈判报价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lang w:val="en-US" w:eastAsia="zh-CN"/>
        </w:rPr>
        <w:t>290000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lang w:eastAsia="zh-CN"/>
        </w:rPr>
        <w:t>谈判</w:t>
      </w:r>
      <w:r>
        <w:rPr>
          <w:rFonts w:hint="eastAsia"/>
          <w:kern w:val="2"/>
          <w:sz w:val="30"/>
          <w:szCs w:val="30"/>
          <w:highlight w:val="yellow"/>
        </w:rPr>
        <w:t>保证金须在开标当天上午8：00前</w:t>
      </w:r>
      <w:r>
        <w:rPr>
          <w:rFonts w:hint="eastAsia"/>
          <w:kern w:val="2"/>
          <w:sz w:val="30"/>
          <w:szCs w:val="30"/>
          <w:highlight w:val="yellow"/>
          <w:lang w:eastAsia="zh-CN"/>
        </w:rPr>
        <w:t>到账</w:t>
      </w:r>
      <w:r>
        <w:rPr>
          <w:rFonts w:hint="eastAsia"/>
          <w:kern w:val="2"/>
          <w:sz w:val="30"/>
          <w:szCs w:val="30"/>
          <w:highlight w:val="yellow"/>
        </w:rPr>
        <w:t>，</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2" w:firstLineChars="200"/>
        <w:jc w:val="both"/>
        <w:rPr>
          <w:rFonts w:hint="default" w:eastAsia="宋体"/>
          <w:b/>
          <w:bCs/>
          <w:color w:val="auto"/>
          <w:kern w:val="2"/>
          <w:sz w:val="30"/>
          <w:szCs w:val="30"/>
          <w:highlight w:val="yellow"/>
          <w:lang w:val="en-US" w:eastAsia="zh-CN"/>
        </w:rPr>
      </w:pPr>
      <w:r>
        <w:rPr>
          <w:rFonts w:hint="eastAsia"/>
          <w:b/>
          <w:bCs/>
          <w:color w:val="auto"/>
          <w:kern w:val="2"/>
          <w:sz w:val="30"/>
          <w:szCs w:val="30"/>
          <w:highlight w:val="yellow"/>
          <w:lang w:val="en-US" w:eastAsia="zh-CN"/>
        </w:rPr>
        <w:t>6.7响应文件正本需加盖响应供应商公章。</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响应文件格式9”的规定提供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12" w:name="_Toc376848253"/>
      <w:r>
        <w:rPr>
          <w:rFonts w:hint="eastAsia"/>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p>
      <w:pPr>
        <w:pStyle w:val="16"/>
        <w:spacing w:before="0" w:beforeAutospacing="0" w:after="0" w:afterAutospacing="0" w:line="460" w:lineRule="exact"/>
        <w:ind w:firstLine="600" w:firstLineChars="200"/>
        <w:jc w:val="both"/>
        <w:rPr>
          <w:kern w:val="2"/>
          <w:sz w:val="30"/>
          <w:szCs w:val="30"/>
        </w:rPr>
      </w:pPr>
    </w:p>
    <w:bookmarkEnd w:id="13"/>
    <w:p>
      <w:pPr>
        <w:pStyle w:val="16"/>
        <w:spacing w:before="0" w:beforeAutospacing="0" w:after="0" w:afterAutospacing="0" w:line="460" w:lineRule="exact"/>
        <w:ind w:firstLine="600" w:firstLineChars="200"/>
        <w:jc w:val="both"/>
        <w:rPr>
          <w:color w:val="auto"/>
          <w:kern w:val="2"/>
          <w:sz w:val="30"/>
          <w:szCs w:val="30"/>
          <w:lang w:val="en-GB"/>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pPr>
        <w:pStyle w:val="16"/>
        <w:spacing w:before="0" w:beforeAutospacing="0" w:after="0" w:afterAutospacing="0" w:line="460" w:lineRule="exact"/>
        <w:ind w:firstLine="600" w:firstLineChars="200"/>
        <w:jc w:val="both"/>
        <w:rPr>
          <w:kern w:val="2"/>
          <w:sz w:val="30"/>
          <w:szCs w:val="30"/>
        </w:rPr>
      </w:pPr>
    </w:p>
    <w:bookmarkEnd w:id="12"/>
    <w:p>
      <w:pPr>
        <w:pStyle w:val="16"/>
        <w:spacing w:before="0" w:beforeAutospacing="0" w:after="0" w:afterAutospacing="0" w:line="460" w:lineRule="exact"/>
        <w:ind w:firstLine="600" w:firstLineChars="200"/>
        <w:jc w:val="both"/>
        <w:rPr>
          <w:kern w:val="2"/>
          <w:sz w:val="30"/>
          <w:szCs w:val="30"/>
        </w:rPr>
      </w:pPr>
      <w:bookmarkStart w:id="14" w:name="_Toc286758340"/>
      <w:r>
        <w:rPr>
          <w:rFonts w:hint="eastAsia"/>
          <w:kern w:val="2"/>
          <w:sz w:val="30"/>
          <w:szCs w:val="30"/>
        </w:rPr>
        <w:t xml:space="preserve">6. </w:t>
      </w:r>
      <w:bookmarkEnd w:id="14"/>
      <w:r>
        <w:rPr>
          <w:rFonts w:hint="eastAsia"/>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376848255"/>
      <w:bookmarkStart w:id="16" w:name="_Toc286758341"/>
      <w:bookmarkStart w:id="17" w:name="_Toc44571522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pStyle w:val="2"/>
        <w:jc w:val="center"/>
        <w:rPr>
          <w:rFonts w:ascii="仿宋" w:hAnsi="仿宋" w:eastAsia="仿宋" w:cs="仿宋"/>
          <w:kern w:val="0"/>
          <w:sz w:val="52"/>
          <w:szCs w:val="52"/>
        </w:rPr>
      </w:pPr>
      <w:bookmarkStart w:id="21" w:name="_Toc533775678"/>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u w:val="single"/>
        </w:rPr>
        <w:t xml:space="preserve">        </w:t>
      </w:r>
      <w:r>
        <w:rPr>
          <w:rFonts w:hint="eastAsia" w:ascii="仿宋" w:hAnsi="仿宋" w:eastAsia="仿宋" w:cs="仿宋"/>
          <w:kern w:val="0"/>
          <w:sz w:val="52"/>
          <w:szCs w:val="52"/>
        </w:rPr>
        <w:t>采购合同</w:t>
      </w:r>
    </w:p>
    <w:p>
      <w:pPr>
        <w:rPr>
          <w:rFonts w:ascii="Calibri" w:hAnsi="Calibri" w:eastAsia="仿宋" w:cs="Times New Roman"/>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u w:val="single"/>
          <w:lang w:val="en-US" w:eastAsia="zh-CN"/>
        </w:rPr>
        <w:t>20</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eastAsia="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r>
        <w:rPr>
          <w:rFonts w:hint="eastAsia" w:ascii="仿宋" w:hAnsi="仿宋" w:eastAsia="仿宋" w:cs="仿宋"/>
          <w:kern w:val="0"/>
          <w:sz w:val="32"/>
          <w:szCs w:val="32"/>
        </w:rPr>
        <w:t xml:space="preserve">          </w:t>
      </w:r>
    </w:p>
    <w:p>
      <w:pPr>
        <w:ind w:firstLine="750" w:firstLineChars="250"/>
        <w:rPr>
          <w:rFonts w:ascii="宋体" w:hAnsi="宋体" w:eastAsia="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赣州市人民医院****项目采购合同</w:t>
      </w:r>
    </w:p>
    <w:p>
      <w:pPr>
        <w:widowControl/>
        <w:spacing w:line="560" w:lineRule="exact"/>
        <w:ind w:firstLine="1405" w:firstLineChars="5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甲、乙双方根据</w:t>
      </w:r>
      <w:r>
        <w:rPr>
          <w:rFonts w:hint="eastAsia" w:ascii="仿宋" w:hAnsi="仿宋" w:eastAsia="仿宋" w:cs="仿宋"/>
          <w:color w:val="000000" w:themeColor="text1"/>
          <w:sz w:val="28"/>
          <w:szCs w:val="28"/>
          <w:highlight w:val="yellow"/>
          <w:u w:val="single"/>
          <w:lang w:eastAsia="zh-CN"/>
          <w14:textFill>
            <w14:solidFill>
              <w14:schemeClr w14:val="tx1"/>
            </w14:solidFill>
          </w14:textFill>
        </w:rPr>
        <w:t>赣州市人民医院</w:t>
      </w:r>
      <w:r>
        <w:rPr>
          <w:rFonts w:hint="eastAsia" w:ascii="仿宋" w:hAnsi="仿宋" w:eastAsia="仿宋" w:cs="仿宋"/>
          <w:color w:val="000000" w:themeColor="text1"/>
          <w:sz w:val="28"/>
          <w:szCs w:val="28"/>
          <w:highlight w:val="yellow"/>
          <w:u w:val="single"/>
          <w14:textFill>
            <w14:solidFill>
              <w14:schemeClr w14:val="tx1"/>
            </w14:solidFill>
          </w14:textFill>
        </w:rPr>
        <w:t>组织</w:t>
      </w:r>
      <w:r>
        <w:rPr>
          <w:rFonts w:hint="eastAsia" w:ascii="仿宋" w:hAnsi="仿宋" w:eastAsia="仿宋" w:cs="仿宋"/>
          <w:color w:val="000000" w:themeColor="text1"/>
          <w:sz w:val="28"/>
          <w:szCs w:val="28"/>
          <w14:textFill>
            <w14:solidFill>
              <w14:schemeClr w14:val="tx1"/>
            </w14:solidFill>
          </w14:textFill>
        </w:rPr>
        <w:t>（项目编号：********）</w:t>
      </w:r>
      <w:r>
        <w:rPr>
          <w:rFonts w:hint="eastAsia" w:ascii="仿宋" w:hAnsi="仿宋" w:eastAsia="仿宋" w:cs="仿宋"/>
          <w:color w:val="000000" w:themeColor="text1"/>
          <w:sz w:val="28"/>
          <w:szCs w:val="28"/>
          <w:highlight w:val="yellow"/>
          <w:u w:val="single"/>
          <w14:textFill>
            <w14:solidFill>
              <w14:schemeClr w14:val="tx1"/>
            </w14:solidFill>
          </w14:textFill>
        </w:rPr>
        <w:t>竞争性谈判</w:t>
      </w:r>
      <w:r>
        <w:rPr>
          <w:rFonts w:hint="eastAsia" w:ascii="仿宋" w:hAnsi="仿宋" w:eastAsia="仿宋" w:cs="仿宋"/>
          <w:color w:val="000000" w:themeColor="text1"/>
          <w:sz w:val="28"/>
          <w:szCs w:val="28"/>
          <w14:textFill>
            <w14:solidFill>
              <w14:schemeClr w14:val="tx1"/>
            </w14:solidFill>
          </w14:textFill>
        </w:rPr>
        <w:t>的成交结果和</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文件的要求，并经双方协商一致，同意按下述条件签订本合同。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一、合同文件的组成：</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以下内容是组成本合同文件不可分割的部分：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1、采购合同；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2、中标通知书；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sz w:val="28"/>
          <w:szCs w:val="28"/>
        </w:rPr>
        <w:t>招标（竞谈）文件（含采购过程补充通知、答疑回复、变更等）；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4、响应文件。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注：若上述文件就某一事项意思表达不一致，则按以下顺序进行解释，合同优于中标通知书，中标通知书优于响应文件，响应文件优于招标（竞谈）文件。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二、合同范围和条件：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本合同的范围和条件应与上述合同文件的规定一致。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三、品牌型号、规格、数量及总价：</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sz w:val="28"/>
          <w:szCs w:val="28"/>
        </w:rPr>
        <w:t>四、合同金额：合</w:t>
      </w:r>
      <w:r>
        <w:rPr>
          <w:rFonts w:hint="eastAsia" w:ascii="仿宋" w:hAnsi="仿宋" w:eastAsia="仿宋" w:cs="仿宋"/>
          <w:color w:val="auto"/>
          <w:sz w:val="28"/>
          <w:szCs w:val="28"/>
        </w:rPr>
        <w:t>同总价人民币**元整（00.00元）。</w:t>
      </w:r>
    </w:p>
    <w:p>
      <w:pPr>
        <w:pStyle w:val="16"/>
        <w:spacing w:before="0" w:beforeAutospacing="0" w:after="0" w:afterAutospacing="0" w:line="460" w:lineRule="exact"/>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sz w:val="28"/>
          <w:szCs w:val="28"/>
        </w:rPr>
        <w:t>五、履约保证金：</w:t>
      </w:r>
      <w:r>
        <w:rPr>
          <w:rFonts w:hint="eastAsia" w:ascii="仿宋" w:hAnsi="仿宋" w:eastAsia="仿宋" w:cs="仿宋"/>
          <w:color w:val="auto"/>
          <w:kern w:val="2"/>
          <w:sz w:val="28"/>
          <w:szCs w:val="28"/>
        </w:rPr>
        <w:t>履约保证金按成交金额的</w:t>
      </w: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rPr>
        <w:t>%缴纳，不足部分在合同签订前补齐，</w:t>
      </w:r>
      <w:r>
        <w:rPr>
          <w:rFonts w:hint="eastAsia" w:ascii="仿宋" w:hAnsi="仿宋" w:eastAsia="仿宋" w:cs="仿宋"/>
          <w:color w:val="auto"/>
          <w:sz w:val="28"/>
          <w:szCs w:val="28"/>
          <w:highlight w:val="none"/>
        </w:rPr>
        <w:t>履约保证金在货物交付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rPr>
        <w:t>验收合格后</w:t>
      </w:r>
      <w:r>
        <w:rPr>
          <w:rFonts w:hint="eastAsia" w:ascii="仿宋" w:hAnsi="仿宋" w:eastAsia="仿宋" w:cs="仿宋"/>
          <w:color w:val="auto"/>
          <w:sz w:val="28"/>
          <w:szCs w:val="28"/>
          <w:highlight w:val="none"/>
        </w:rPr>
        <w:t>自动转为质保金，</w:t>
      </w:r>
      <w:r>
        <w:rPr>
          <w:rFonts w:hint="eastAsia" w:ascii="仿宋" w:hAnsi="仿宋" w:eastAsia="仿宋" w:cs="仿宋"/>
          <w:color w:val="auto"/>
          <w:kern w:val="2"/>
          <w:sz w:val="28"/>
          <w:szCs w:val="28"/>
        </w:rPr>
        <w:t>货物验收合格后质保期结束时一次性无息退还。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六、质量保证：乙方应保证货物是全新、未使用过的原装合格正品，并完全符合本招标（谈判）文件及本合同规定的质量、规格和性能的要求。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七、交付地点：甲方指定地点。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八、交付时间：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九、售后服务：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cyan"/>
          <w:lang w:eastAsia="zh-CN"/>
        </w:rPr>
      </w:pPr>
      <w:r>
        <w:rPr>
          <w:rFonts w:hint="eastAsia" w:ascii="仿宋" w:hAnsi="仿宋" w:eastAsia="仿宋" w:cs="仿宋"/>
          <w:sz w:val="28"/>
          <w:szCs w:val="28"/>
        </w:rPr>
        <w:t>（1）乙方提供本合同的质保期为</w:t>
      </w:r>
      <w:r>
        <w:rPr>
          <w:rFonts w:hint="eastAsia" w:ascii="仿宋" w:hAnsi="仿宋" w:eastAsia="仿宋" w:cs="仿宋"/>
          <w:color w:val="auto"/>
          <w:sz w:val="28"/>
          <w:szCs w:val="28"/>
          <w:lang w:eastAsia="zh-CN"/>
        </w:rPr>
        <w:t>验收合格</w:t>
      </w:r>
      <w:r>
        <w:rPr>
          <w:rFonts w:hint="eastAsia" w:ascii="仿宋" w:hAnsi="仿宋" w:eastAsia="仿宋" w:cs="仿宋"/>
          <w:color w:val="auto"/>
          <w:sz w:val="28"/>
          <w:szCs w:val="28"/>
        </w:rPr>
        <w:t>之日起</w:t>
      </w:r>
      <w:r>
        <w:rPr>
          <w:rFonts w:hint="eastAsia" w:ascii="仿宋" w:hAnsi="仿宋" w:eastAsia="仿宋" w:cs="仿宋"/>
          <w:color w:val="auto"/>
          <w:sz w:val="28"/>
          <w:szCs w:val="28"/>
          <w:highlight w:val="yellow"/>
          <w:lang w:val="en-US" w:eastAsia="zh-CN"/>
        </w:rPr>
        <w:t>1</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rPr>
        <w:t>。</w:t>
      </w:r>
      <w:r>
        <w:rPr>
          <w:rFonts w:hint="eastAsia" w:ascii="仿宋" w:hAnsi="仿宋" w:eastAsia="仿宋" w:cs="仿宋"/>
          <w:color w:val="auto"/>
          <w:sz w:val="28"/>
          <w:szCs w:val="28"/>
          <w:highlight w:val="cyan"/>
          <w:lang w:eastAsia="zh-CN"/>
        </w:rPr>
        <w:t>若乙方提供的货物质保期不符合要求，甲方有权拒收，要求乙方提供符合要求的货物，因此导致延迟交货的，按相应的违约行为处理。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（2）乙方承担因货物本身的缺陷所应负的责任；所有产品在质保期内发生质量问题，乙方无条件给予退换。</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十、验收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本项目验收标准需完全符合招标（谈判）文件要求，如验收不合格，甲方有权终止合同并退货。</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甲方可在本次采购的货物内随机抽取样品送权威机构进行检测，由此产生的一切费用由乙方承担。若检测结果不符合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文件参数要求，拒绝验收，重新供货，如两次抽取不符合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文件参数要求，甲方有权终止合同，没收履约保</w:t>
      </w:r>
      <w:r>
        <w:rPr>
          <w:rFonts w:hint="eastAsia" w:ascii="仿宋" w:hAnsi="仿宋" w:eastAsia="仿宋" w:cs="仿宋"/>
          <w:color w:val="auto"/>
          <w:sz w:val="28"/>
          <w:szCs w:val="28"/>
        </w:rPr>
        <w:t>证金，并要求乙方赔偿甲方损失。</w:t>
      </w:r>
    </w:p>
    <w:p>
      <w:pPr>
        <w:pStyle w:val="16"/>
        <w:spacing w:before="0" w:beforeAutospacing="0" w:after="0" w:afterAutospacing="0" w:line="46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rPr>
        <w:t>十一、付款方式：</w:t>
      </w:r>
      <w:r>
        <w:rPr>
          <w:rFonts w:hint="eastAsia" w:ascii="仿宋" w:hAnsi="仿宋" w:eastAsia="仿宋" w:cs="仿宋"/>
          <w:color w:val="FF0000"/>
          <w:kern w:val="2"/>
          <w:sz w:val="28"/>
          <w:szCs w:val="28"/>
          <w:highlight w:val="yellow"/>
        </w:rPr>
        <w:t>按月结算付款，</w:t>
      </w:r>
      <w:r>
        <w:rPr>
          <w:rFonts w:hint="eastAsia" w:ascii="仿宋" w:hAnsi="仿宋" w:eastAsia="仿宋" w:cs="仿宋"/>
          <w:color w:val="FF0000"/>
          <w:kern w:val="2"/>
          <w:sz w:val="28"/>
          <w:szCs w:val="28"/>
          <w:highlight w:val="yellow"/>
          <w:lang w:eastAsia="zh-CN"/>
        </w:rPr>
        <w:t>乙方</w:t>
      </w:r>
      <w:r>
        <w:rPr>
          <w:rFonts w:hint="eastAsia" w:ascii="仿宋" w:hAnsi="仿宋" w:eastAsia="仿宋" w:cs="仿宋"/>
          <w:color w:val="FF0000"/>
          <w:kern w:val="2"/>
          <w:sz w:val="28"/>
          <w:szCs w:val="28"/>
          <w:highlight w:val="yellow"/>
        </w:rPr>
        <w:t>根据</w:t>
      </w:r>
      <w:r>
        <w:rPr>
          <w:rFonts w:hint="eastAsia" w:ascii="仿宋" w:hAnsi="仿宋" w:eastAsia="仿宋" w:cs="仿宋"/>
          <w:color w:val="FF0000"/>
          <w:kern w:val="2"/>
          <w:sz w:val="28"/>
          <w:szCs w:val="28"/>
          <w:highlight w:val="yellow"/>
          <w:lang w:eastAsia="zh-CN"/>
        </w:rPr>
        <w:t>甲方</w:t>
      </w:r>
      <w:r>
        <w:rPr>
          <w:rFonts w:hint="eastAsia" w:ascii="仿宋" w:hAnsi="仿宋" w:eastAsia="仿宋" w:cs="仿宋"/>
          <w:color w:val="FF0000"/>
          <w:kern w:val="2"/>
          <w:sz w:val="28"/>
          <w:szCs w:val="28"/>
          <w:highlight w:val="yellow"/>
        </w:rPr>
        <w:t>实际需求供货，每月以验收合格的供货数开具相应金额的合法税票，</w:t>
      </w:r>
      <w:r>
        <w:rPr>
          <w:rFonts w:hint="eastAsia" w:ascii="仿宋" w:hAnsi="仿宋" w:eastAsia="仿宋" w:cs="仿宋"/>
          <w:color w:val="FF0000"/>
          <w:kern w:val="2"/>
          <w:sz w:val="28"/>
          <w:szCs w:val="28"/>
          <w:highlight w:val="yellow"/>
          <w:lang w:eastAsia="zh-CN"/>
        </w:rPr>
        <w:t>甲方</w:t>
      </w:r>
      <w:r>
        <w:rPr>
          <w:rFonts w:hint="eastAsia" w:ascii="仿宋" w:hAnsi="仿宋" w:eastAsia="仿宋" w:cs="仿宋"/>
          <w:color w:val="FF0000"/>
          <w:kern w:val="2"/>
          <w:sz w:val="28"/>
          <w:szCs w:val="28"/>
          <w:highlight w:val="yellow"/>
        </w:rPr>
        <w:t>在收到税票后两个月内以转账方式付清相应金额货款。</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rPr>
        <w:t>1</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方没有按照合同规定的时间交货和提供服务，</w:t>
      </w:r>
      <w:r>
        <w:rPr>
          <w:rFonts w:hint="eastAsia" w:ascii="仿宋" w:hAnsi="仿宋" w:eastAsia="仿宋" w:cs="仿宋"/>
          <w:color w:val="auto"/>
          <w:sz w:val="28"/>
          <w:szCs w:val="28"/>
          <w:highlight w:val="none"/>
          <w:lang w:eastAsia="zh-CN"/>
        </w:rPr>
        <w:t>甲</w:t>
      </w:r>
      <w:r>
        <w:rPr>
          <w:rFonts w:hint="eastAsia" w:ascii="仿宋" w:hAnsi="仿宋" w:eastAsia="仿宋" w:cs="仿宋"/>
          <w:color w:val="auto"/>
          <w:sz w:val="28"/>
          <w:szCs w:val="28"/>
          <w:highlight w:val="none"/>
        </w:rPr>
        <w:t>方可从货款中扣除违约赔偿费，赔偿费应按每迟交一</w:t>
      </w:r>
      <w:r>
        <w:rPr>
          <w:rFonts w:hint="eastAsia" w:ascii="仿宋" w:hAnsi="仿宋" w:eastAsia="仿宋" w:cs="仿宋"/>
          <w:color w:val="auto"/>
          <w:sz w:val="28"/>
          <w:szCs w:val="28"/>
          <w:highlight w:val="none"/>
          <w:lang w:eastAsia="zh-CN"/>
        </w:rPr>
        <w:t>天</w:t>
      </w:r>
      <w:r>
        <w:rPr>
          <w:rFonts w:hint="eastAsia" w:ascii="仿宋" w:hAnsi="仿宋" w:eastAsia="仿宋" w:cs="仿宋"/>
          <w:color w:val="auto"/>
          <w:sz w:val="28"/>
          <w:szCs w:val="28"/>
          <w:highlight w:val="none"/>
        </w:rPr>
        <w:t>，按合同总价的</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计收</w:t>
      </w:r>
      <w:r>
        <w:rPr>
          <w:rFonts w:hint="eastAsia" w:ascii="仿宋" w:hAnsi="仿宋" w:eastAsia="仿宋" w:cs="仿宋"/>
          <w:color w:val="auto"/>
          <w:sz w:val="28"/>
          <w:szCs w:val="28"/>
          <w:highlight w:val="none"/>
          <w:lang w:eastAsia="zh-CN"/>
        </w:rPr>
        <w:t>，不足一天超过</w:t>
      </w:r>
      <w:r>
        <w:rPr>
          <w:rFonts w:hint="eastAsia" w:ascii="仿宋" w:hAnsi="仿宋" w:eastAsia="仿宋" w:cs="仿宋"/>
          <w:color w:val="auto"/>
          <w:sz w:val="28"/>
          <w:szCs w:val="28"/>
          <w:highlight w:val="none"/>
          <w:lang w:val="en-US" w:eastAsia="zh-CN"/>
        </w:rPr>
        <w:t>12小时按一天计算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违约赔偿费的最高限额为合同总价的10%。如果</w:t>
      </w:r>
      <w:r>
        <w:rPr>
          <w:rFonts w:hint="eastAsia" w:ascii="仿宋" w:hAnsi="仿宋" w:eastAsia="仿宋" w:cs="仿宋"/>
          <w:color w:val="auto"/>
          <w:sz w:val="28"/>
          <w:szCs w:val="28"/>
          <w:highlight w:val="none"/>
          <w:lang w:eastAsia="zh-CN"/>
        </w:rPr>
        <w:t>违约金达到的最高限额后乙</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仍不能交货，甲</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有权单方面</w:t>
      </w:r>
      <w:r>
        <w:rPr>
          <w:rFonts w:hint="eastAsia" w:ascii="仿宋" w:hAnsi="仿宋" w:eastAsia="仿宋" w:cs="仿宋"/>
          <w:color w:val="auto"/>
          <w:sz w:val="28"/>
          <w:szCs w:val="28"/>
          <w:highlight w:val="none"/>
        </w:rPr>
        <w:t>终止合同</w:t>
      </w:r>
      <w:r>
        <w:rPr>
          <w:rFonts w:hint="eastAsia" w:ascii="仿宋" w:hAnsi="仿宋" w:eastAsia="仿宋" w:cs="仿宋"/>
          <w:color w:val="auto"/>
          <w:sz w:val="28"/>
          <w:szCs w:val="28"/>
          <w:highlight w:val="none"/>
          <w:lang w:eastAsia="zh-CN"/>
        </w:rPr>
        <w:t>，没收履约保证金，并要求乙</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赔偿甲</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损失。</w:t>
      </w:r>
    </w:p>
    <w:p>
      <w:pPr>
        <w:pStyle w:val="1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w:t>
      </w:r>
      <w:r>
        <w:rPr>
          <w:rFonts w:hint="eastAsia" w:ascii="仿宋" w:hAnsi="仿宋" w:eastAsia="仿宋" w:cs="仿宋"/>
          <w:color w:val="auto"/>
          <w:kern w:val="2"/>
          <w:sz w:val="28"/>
          <w:szCs w:val="28"/>
          <w:lang w:eastAsia="zh-CN"/>
        </w:rPr>
        <w:t>、质保期内，除不可抗力外，如果货物出现质量问题无法正常使用，投标供应商须在响应文件中承诺的时间内提供退换服务，响应时间每超过一天（不足一天超过12小时算一天）扣除质保金的5%，以此类推，在质保金不足全额的情况下，</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w:t>
      </w:r>
      <w:r>
        <w:rPr>
          <w:rFonts w:hint="eastAsia" w:ascii="仿宋" w:hAnsi="仿宋" w:eastAsia="仿宋" w:cs="仿宋"/>
          <w:color w:val="auto"/>
          <w:kern w:val="2"/>
          <w:sz w:val="28"/>
          <w:szCs w:val="28"/>
          <w:lang w:eastAsia="zh-CN"/>
        </w:rPr>
        <w:t>有义务补足合同约定的质保金。如果连续超过1个月，</w:t>
      </w:r>
      <w:r>
        <w:rPr>
          <w:rFonts w:hint="eastAsia" w:ascii="仿宋" w:hAnsi="仿宋" w:eastAsia="仿宋" w:cs="仿宋"/>
          <w:color w:val="auto"/>
          <w:sz w:val="28"/>
          <w:szCs w:val="28"/>
          <w:highlight w:val="none"/>
          <w:lang w:eastAsia="zh-CN"/>
        </w:rPr>
        <w:t>甲</w:t>
      </w:r>
      <w:r>
        <w:rPr>
          <w:rFonts w:hint="eastAsia" w:ascii="仿宋" w:hAnsi="仿宋" w:eastAsia="仿宋" w:cs="仿宋"/>
          <w:color w:val="auto"/>
          <w:sz w:val="28"/>
          <w:szCs w:val="28"/>
          <w:highlight w:val="none"/>
        </w:rPr>
        <w:t>方</w:t>
      </w:r>
      <w:r>
        <w:rPr>
          <w:rFonts w:hint="eastAsia" w:ascii="仿宋" w:hAnsi="仿宋" w:eastAsia="仿宋" w:cs="仿宋"/>
          <w:color w:val="auto"/>
          <w:kern w:val="2"/>
          <w:sz w:val="28"/>
          <w:szCs w:val="28"/>
          <w:lang w:eastAsia="zh-CN"/>
        </w:rPr>
        <w:t>有权利终止合同且不支付任何费用。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十三、其他约定：</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1、合同期间乙方必须按照合同规定的品牌型号规格供货，不得改变。若型号或规格更改，甲方有权拒收。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2、由于质量问题（含安全隐患）而产生的一切费用及纠纷均有乙方承担。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3、质保期内对于出现的质量问题，乙方2小时内响应，12小时内到达现场，24小时内解决问题。如不能及时解决，提供</w:t>
      </w:r>
      <w:r>
        <w:rPr>
          <w:rFonts w:hint="eastAsia" w:ascii="仿宋" w:hAnsi="仿宋" w:eastAsia="仿宋" w:cs="仿宋"/>
          <w:color w:val="000000" w:themeColor="text1"/>
          <w:sz w:val="28"/>
          <w:szCs w:val="28"/>
          <w14:textFill>
            <w14:solidFill>
              <w14:schemeClr w14:val="tx1"/>
            </w14:solidFill>
          </w14:textFill>
        </w:rPr>
        <w:t>甲方可以接受的解决方案或乙方无条件给予退换，否则，按条款十二扣除违约责任费。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十五、</w:t>
      </w:r>
      <w:r>
        <w:rPr>
          <w:rFonts w:hint="eastAsia" w:ascii="仿宋" w:hAnsi="仿宋" w:eastAsia="仿宋" w:cs="仿宋"/>
          <w:color w:val="000000" w:themeColor="text1"/>
          <w:sz w:val="28"/>
          <w:szCs w:val="28"/>
          <w14:textFill>
            <w14:solidFill>
              <w14:schemeClr w14:val="tx1"/>
            </w14:solidFill>
          </w14:textFill>
        </w:rPr>
        <w:t>本合同一式</w:t>
      </w:r>
      <w:r>
        <w:rPr>
          <w:rFonts w:hint="eastAsia" w:ascii="仿宋" w:hAnsi="仿宋" w:eastAsia="仿宋" w:cs="仿宋"/>
          <w:color w:val="000000" w:themeColor="text1"/>
          <w:sz w:val="28"/>
          <w:szCs w:val="28"/>
          <w:lang w:eastAsia="zh-CN"/>
          <w14:textFill>
            <w14:solidFill>
              <w14:schemeClr w14:val="tx1"/>
            </w14:solidFill>
          </w14:textFill>
        </w:rPr>
        <w:t>肆</w:t>
      </w:r>
      <w:r>
        <w:rPr>
          <w:rFonts w:hint="eastAsia" w:ascii="仿宋" w:hAnsi="仿宋" w:eastAsia="仿宋" w:cs="仿宋"/>
          <w:color w:val="000000" w:themeColor="text1"/>
          <w:sz w:val="28"/>
          <w:szCs w:val="28"/>
          <w14:textFill>
            <w14:solidFill>
              <w14:schemeClr w14:val="tx1"/>
            </w14:solidFill>
          </w14:textFill>
        </w:rPr>
        <w:t>份，以中文书写</w:t>
      </w:r>
      <w:r>
        <w:rPr>
          <w:rFonts w:hint="eastAsia" w:ascii="仿宋" w:hAnsi="仿宋" w:eastAsia="仿宋" w:cs="仿宋"/>
          <w:color w:val="000000" w:themeColor="text1"/>
          <w:sz w:val="28"/>
          <w:szCs w:val="28"/>
          <w:highlight w:val="none"/>
          <w14:textFill>
            <w14:solidFill>
              <w14:schemeClr w14:val="tx1"/>
            </w14:solidFill>
          </w14:textFill>
        </w:rPr>
        <w:t>。甲方叁份、</w:t>
      </w:r>
      <w:r>
        <w:rPr>
          <w:rFonts w:hint="eastAsia" w:ascii="仿宋" w:hAnsi="仿宋" w:eastAsia="仿宋" w:cs="仿宋"/>
          <w:color w:val="000000" w:themeColor="text1"/>
          <w:sz w:val="28"/>
          <w:szCs w:val="28"/>
          <w:highlight w:val="none"/>
          <w:u w:val="single"/>
          <w14:textFill>
            <w14:solidFill>
              <w14:schemeClr w14:val="tx1"/>
            </w14:solidFill>
          </w14:textFill>
        </w:rPr>
        <w:t>乙方</w:t>
      </w:r>
      <w:r>
        <w:rPr>
          <w:rFonts w:hint="eastAsia" w:ascii="仿宋" w:hAnsi="仿宋" w:eastAsia="仿宋" w:cs="仿宋"/>
          <w:color w:val="000000" w:themeColor="text1"/>
          <w:sz w:val="28"/>
          <w:szCs w:val="28"/>
          <w:highlight w:val="none"/>
          <w14:textFill>
            <w14:solidFill>
              <w14:schemeClr w14:val="tx1"/>
            </w14:solidFill>
          </w14:textFill>
        </w:rPr>
        <w:t>各执</w:t>
      </w:r>
      <w:r>
        <w:rPr>
          <w:rFonts w:hint="eastAsia" w:ascii="仿宋" w:hAnsi="仿宋" w:eastAsia="仿宋" w:cs="仿宋"/>
          <w:color w:val="000000" w:themeColor="text1"/>
          <w:sz w:val="28"/>
          <w:szCs w:val="28"/>
          <w14:textFill>
            <w14:solidFill>
              <w14:schemeClr w14:val="tx1"/>
            </w14:solidFill>
          </w14:textFill>
        </w:rPr>
        <w:t>一份，具有同等法律效力。</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pStyle w:val="6"/>
        <w:rPr>
          <w:rFonts w:hint="eastAsia" w:ascii="仿宋" w:hAnsi="仿宋" w:eastAsia="仿宋" w:cs="仿宋"/>
        </w:rPr>
      </w:pPr>
    </w:p>
    <w:p>
      <w:pPr>
        <w:widowControl/>
        <w:tabs>
          <w:tab w:val="left" w:pos="6100"/>
        </w:tabs>
        <w:spacing w:line="480" w:lineRule="auto"/>
        <w:ind w:left="5891" w:hanging="5891" w:hangingChars="2104"/>
        <w:jc w:val="left"/>
        <w:rPr>
          <w:rFonts w:hint="eastAsia" w:ascii="仿宋" w:hAnsi="仿宋" w:eastAsia="仿宋" w:cs="仿宋"/>
          <w:b/>
          <w:sz w:val="28"/>
          <w:szCs w:val="28"/>
        </w:rPr>
      </w:pPr>
      <w:r>
        <w:rPr>
          <w:rFonts w:hint="eastAsia" w:ascii="仿宋" w:hAnsi="仿宋" w:eastAsia="仿宋" w:cs="仿宋"/>
          <w:sz w:val="28"/>
          <w:szCs w:val="28"/>
        </w:rPr>
        <w:t>甲方（盖章）：赣州市人民医院  乙方（盖章）：</w:t>
      </w:r>
      <w:r>
        <w:rPr>
          <w:rFonts w:hint="eastAsia" w:ascii="仿宋" w:hAnsi="仿宋" w:eastAsia="仿宋" w:cs="仿宋"/>
          <w:b/>
          <w:sz w:val="28"/>
          <w:szCs w:val="28"/>
        </w:rPr>
        <w:t xml:space="preserve"> </w:t>
      </w:r>
    </w:p>
    <w:p>
      <w:pPr>
        <w:widowControl/>
        <w:spacing w:line="480" w:lineRule="auto"/>
        <w:ind w:left="6160" w:hanging="6160" w:hangingChars="2200"/>
        <w:jc w:val="left"/>
        <w:rPr>
          <w:rFonts w:hint="eastAsia" w:ascii="仿宋" w:hAnsi="仿宋" w:eastAsia="仿宋" w:cs="仿宋"/>
          <w:sz w:val="28"/>
          <w:szCs w:val="28"/>
        </w:rPr>
      </w:pPr>
    </w:p>
    <w:p>
      <w:pPr>
        <w:widowControl/>
        <w:spacing w:line="480" w:lineRule="auto"/>
        <w:ind w:left="4620" w:hanging="4620" w:hangingChars="1650"/>
        <w:jc w:val="left"/>
        <w:rPr>
          <w:rFonts w:hint="eastAsia" w:ascii="仿宋" w:hAnsi="仿宋" w:eastAsia="仿宋" w:cs="仿宋"/>
          <w:sz w:val="28"/>
          <w:szCs w:val="28"/>
        </w:rPr>
      </w:pPr>
      <w:r>
        <w:rPr>
          <w:rFonts w:hint="eastAsia" w:ascii="仿宋" w:hAnsi="仿宋" w:eastAsia="仿宋" w:cs="仿宋"/>
          <w:sz w:val="28"/>
          <w:szCs w:val="28"/>
        </w:rPr>
        <w:t>法人授权代表签字 ：          法定代表人</w:t>
      </w:r>
    </w:p>
    <w:p>
      <w:pPr>
        <w:widowControl/>
        <w:spacing w:line="480" w:lineRule="auto"/>
        <w:ind w:left="4621" w:leftChars="1867" w:hanging="700" w:hangingChars="250"/>
        <w:jc w:val="left"/>
        <w:rPr>
          <w:rFonts w:hint="eastAsia" w:ascii="仿宋" w:hAnsi="仿宋" w:eastAsia="仿宋" w:cs="仿宋"/>
          <w:sz w:val="28"/>
          <w:szCs w:val="28"/>
        </w:rPr>
      </w:pPr>
      <w:r>
        <w:rPr>
          <w:rFonts w:hint="eastAsia" w:ascii="仿宋" w:hAnsi="仿宋" w:eastAsia="仿宋" w:cs="仿宋"/>
          <w:sz w:val="28"/>
          <w:szCs w:val="28"/>
        </w:rPr>
        <w:t>（或法人授权代表）签字</w:t>
      </w:r>
      <w:r>
        <w:rPr>
          <w:rFonts w:hint="eastAsia" w:ascii="仿宋" w:hAnsi="仿宋" w:eastAsia="仿宋" w:cs="仿宋"/>
          <w:sz w:val="24"/>
          <w:szCs w:val="28"/>
        </w:rPr>
        <w:t>：</w:t>
      </w:r>
    </w:p>
    <w:p>
      <w:pPr>
        <w:widowControl/>
        <w:spacing w:line="480" w:lineRule="auto"/>
        <w:ind w:left="5460" w:hanging="5460" w:hangingChars="1950"/>
        <w:jc w:val="left"/>
        <w:rPr>
          <w:rFonts w:hint="eastAsia" w:ascii="仿宋" w:hAnsi="仿宋" w:eastAsia="仿宋" w:cs="仿宋"/>
          <w:sz w:val="28"/>
          <w:szCs w:val="28"/>
        </w:rPr>
      </w:pPr>
      <w:r>
        <w:rPr>
          <w:rFonts w:hint="eastAsia" w:ascii="仿宋" w:hAnsi="仿宋" w:eastAsia="仿宋" w:cs="仿宋"/>
          <w:sz w:val="28"/>
          <w:szCs w:val="28"/>
        </w:rPr>
        <w:t xml:space="preserve">甲方纳税人识别号：           乙方开户行： </w:t>
      </w:r>
    </w:p>
    <w:p>
      <w:pPr>
        <w:rPr>
          <w:rFonts w:hint="eastAsia" w:ascii="仿宋" w:hAnsi="仿宋" w:eastAsia="仿宋" w:cs="仿宋"/>
          <w:sz w:val="28"/>
          <w:szCs w:val="28"/>
        </w:rPr>
      </w:pPr>
      <w:r>
        <w:rPr>
          <w:rFonts w:hint="eastAsia" w:ascii="仿宋" w:hAnsi="仿宋" w:eastAsia="仿宋" w:cs="仿宋"/>
          <w:sz w:val="28"/>
          <w:szCs w:val="28"/>
        </w:rPr>
        <w:t>123607004917506816           账号：</w:t>
      </w:r>
    </w:p>
    <w:p>
      <w:pPr>
        <w:widowControl/>
        <w:jc w:val="left"/>
        <w:rPr>
          <w:rFonts w:hint="eastAsia" w:ascii="仿宋" w:hAnsi="仿宋" w:eastAsia="仿宋" w:cs="仿宋"/>
          <w:b/>
          <w:sz w:val="32"/>
        </w:rPr>
      </w:pPr>
      <w:r>
        <w:rPr>
          <w:rFonts w:hint="eastAsia" w:ascii="仿宋" w:hAnsi="仿宋" w:eastAsia="仿宋" w:cs="仿宋"/>
          <w:sz w:val="28"/>
          <w:szCs w:val="28"/>
        </w:rPr>
        <w:t>签字日期：    年  月  日     签字日期：    年  月  日</w:t>
      </w: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fmt="decimal"/>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电话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pgNumType w:fmt="decimal"/>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pgNumType w:fmt="decimal"/>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pgNumType w:fmt="decimal"/>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61116134"/>
      <w:bookmarkStart w:id="30"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pgNumType w:fmt="decimal"/>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pgNumType w:fmt="decimal"/>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pgNumType w:fmt="decimal"/>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pgNumType w:fmt="decimal"/>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9477458"/>
      <w:bookmarkStart w:id="37" w:name="_Toc495487764"/>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p/>
    <w:sectPr>
      <w:footerReference r:id="rId14" w:type="default"/>
      <w:pgSz w:w="11906" w:h="16838"/>
      <w:pgMar w:top="1440" w:right="1418" w:bottom="1440" w:left="1418" w:header="851" w:footer="851"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10841087"/>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1">
    <w:nsid w:val="572D4BD8"/>
    <w:multiLevelType w:val="singleLevel"/>
    <w:tmpl w:val="572D4BD8"/>
    <w:lvl w:ilvl="0" w:tentative="0">
      <w:start w:val="1"/>
      <w:numFmt w:val="decimal"/>
      <w:suff w:val="nothing"/>
      <w:lvlText w:val="%1、"/>
      <w:lvlJc w:val="left"/>
      <w:rPr>
        <w:rFonts w:cs="Times New Roman"/>
      </w:rPr>
    </w:lvl>
  </w:abstractNum>
  <w:abstractNum w:abstractNumId="2">
    <w:nsid w:val="6DC10092"/>
    <w:multiLevelType w:val="singleLevel"/>
    <w:tmpl w:val="6DC10092"/>
    <w:lvl w:ilvl="0" w:tentative="0">
      <w:start w:val="2"/>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DC4977"/>
    <w:rsid w:val="00E113B0"/>
    <w:rsid w:val="00E87C1E"/>
    <w:rsid w:val="00F138FE"/>
    <w:rsid w:val="00F204CC"/>
    <w:rsid w:val="00F66CFE"/>
    <w:rsid w:val="00F7786A"/>
    <w:rsid w:val="020413E9"/>
    <w:rsid w:val="05A259F1"/>
    <w:rsid w:val="06434357"/>
    <w:rsid w:val="06AC23BD"/>
    <w:rsid w:val="07274C29"/>
    <w:rsid w:val="09393CF1"/>
    <w:rsid w:val="0A624623"/>
    <w:rsid w:val="0ABC7020"/>
    <w:rsid w:val="0BC13B23"/>
    <w:rsid w:val="0BE966D4"/>
    <w:rsid w:val="0C187FE9"/>
    <w:rsid w:val="0DBF66E3"/>
    <w:rsid w:val="0E161F02"/>
    <w:rsid w:val="0E915509"/>
    <w:rsid w:val="0EEA519C"/>
    <w:rsid w:val="136F081D"/>
    <w:rsid w:val="15891910"/>
    <w:rsid w:val="185F2E14"/>
    <w:rsid w:val="1967240D"/>
    <w:rsid w:val="1A3659BC"/>
    <w:rsid w:val="1A7B01B5"/>
    <w:rsid w:val="1AA16C5E"/>
    <w:rsid w:val="1B677545"/>
    <w:rsid w:val="1BBA58C8"/>
    <w:rsid w:val="1BC8452F"/>
    <w:rsid w:val="1BFD48B1"/>
    <w:rsid w:val="1C861FF1"/>
    <w:rsid w:val="1CE11745"/>
    <w:rsid w:val="1DEF2F7E"/>
    <w:rsid w:val="20C636D8"/>
    <w:rsid w:val="21152A38"/>
    <w:rsid w:val="21B40E5C"/>
    <w:rsid w:val="23480564"/>
    <w:rsid w:val="236D6805"/>
    <w:rsid w:val="24326DF1"/>
    <w:rsid w:val="246C34E5"/>
    <w:rsid w:val="267577EF"/>
    <w:rsid w:val="2787664C"/>
    <w:rsid w:val="289979F2"/>
    <w:rsid w:val="28C10D7B"/>
    <w:rsid w:val="29A84304"/>
    <w:rsid w:val="2A261683"/>
    <w:rsid w:val="2D1F49CD"/>
    <w:rsid w:val="2E104CDF"/>
    <w:rsid w:val="2EA451BE"/>
    <w:rsid w:val="2F0C4AC8"/>
    <w:rsid w:val="32AD084B"/>
    <w:rsid w:val="331355A0"/>
    <w:rsid w:val="344649F7"/>
    <w:rsid w:val="350230B9"/>
    <w:rsid w:val="35A6339D"/>
    <w:rsid w:val="35F42111"/>
    <w:rsid w:val="37285450"/>
    <w:rsid w:val="37513ABD"/>
    <w:rsid w:val="37DF52E0"/>
    <w:rsid w:val="3B9E65F7"/>
    <w:rsid w:val="3BE402BD"/>
    <w:rsid w:val="3C8461D9"/>
    <w:rsid w:val="3CEE135F"/>
    <w:rsid w:val="3DB86EC2"/>
    <w:rsid w:val="3E36565C"/>
    <w:rsid w:val="3E5C133D"/>
    <w:rsid w:val="3F504AFC"/>
    <w:rsid w:val="3F566DB0"/>
    <w:rsid w:val="3F7C69FB"/>
    <w:rsid w:val="3FDE703B"/>
    <w:rsid w:val="40044169"/>
    <w:rsid w:val="4181717F"/>
    <w:rsid w:val="41C3400E"/>
    <w:rsid w:val="41D83E33"/>
    <w:rsid w:val="427450A4"/>
    <w:rsid w:val="42AB78DE"/>
    <w:rsid w:val="43DC27F3"/>
    <w:rsid w:val="44AC07D5"/>
    <w:rsid w:val="45FE5E36"/>
    <w:rsid w:val="49026087"/>
    <w:rsid w:val="497D30ED"/>
    <w:rsid w:val="4A0C77C4"/>
    <w:rsid w:val="4AD203D4"/>
    <w:rsid w:val="4C317ADB"/>
    <w:rsid w:val="4C9A6ADF"/>
    <w:rsid w:val="4FCF7C89"/>
    <w:rsid w:val="52D512C8"/>
    <w:rsid w:val="547211DA"/>
    <w:rsid w:val="55042DF6"/>
    <w:rsid w:val="55B67588"/>
    <w:rsid w:val="55F54D11"/>
    <w:rsid w:val="57E13FF9"/>
    <w:rsid w:val="59DF05F2"/>
    <w:rsid w:val="5AD7610B"/>
    <w:rsid w:val="5AE1172E"/>
    <w:rsid w:val="5DB02933"/>
    <w:rsid w:val="5F482BBC"/>
    <w:rsid w:val="608B564A"/>
    <w:rsid w:val="617B3F69"/>
    <w:rsid w:val="62024082"/>
    <w:rsid w:val="630420C2"/>
    <w:rsid w:val="63470076"/>
    <w:rsid w:val="6381334D"/>
    <w:rsid w:val="64456A0A"/>
    <w:rsid w:val="65032109"/>
    <w:rsid w:val="664102EF"/>
    <w:rsid w:val="69C57F5D"/>
    <w:rsid w:val="6A06395A"/>
    <w:rsid w:val="6A912B55"/>
    <w:rsid w:val="6B002295"/>
    <w:rsid w:val="6C761464"/>
    <w:rsid w:val="6DA242CC"/>
    <w:rsid w:val="6F066E31"/>
    <w:rsid w:val="70FB19DE"/>
    <w:rsid w:val="7189237A"/>
    <w:rsid w:val="71B205C1"/>
    <w:rsid w:val="71C13D5A"/>
    <w:rsid w:val="71C93182"/>
    <w:rsid w:val="71EE20B1"/>
    <w:rsid w:val="7262444B"/>
    <w:rsid w:val="73192E1A"/>
    <w:rsid w:val="732978A0"/>
    <w:rsid w:val="73E877E6"/>
    <w:rsid w:val="74CC4CCF"/>
    <w:rsid w:val="74F25CFF"/>
    <w:rsid w:val="755052D2"/>
    <w:rsid w:val="77855D8E"/>
    <w:rsid w:val="77A607E9"/>
    <w:rsid w:val="77BD688C"/>
    <w:rsid w:val="78823B86"/>
    <w:rsid w:val="7B4E2D2D"/>
    <w:rsid w:val="7CE71603"/>
    <w:rsid w:val="7EF2765C"/>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9</TotalTime>
  <ScaleCrop>false</ScaleCrop>
  <LinksUpToDate>false</LinksUpToDate>
  <CharactersWithSpaces>10897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2020-06-29T01:37:00Z</cp:lastPrinted>
  <dcterms:modified xsi:type="dcterms:W3CDTF">2020-07-15T08:50:12Z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