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80"/>
          <w:szCs w:val="80"/>
        </w:rPr>
      </w:pPr>
    </w:p>
    <w:p>
      <w:pPr>
        <w:ind w:firstLine="539"/>
        <w:jc w:val="center"/>
        <w:rPr>
          <w:rFonts w:asciiTheme="minorEastAsia" w:hAnsiTheme="minorEastAsia" w:eastAsiaTheme="minorEastAsia"/>
          <w:sz w:val="80"/>
          <w:szCs w:val="80"/>
        </w:rPr>
      </w:pPr>
      <w:r>
        <w:rPr>
          <w:rFonts w:hint="eastAsia" w:asciiTheme="minorEastAsia" w:hAnsiTheme="minorEastAsia" w:eastAsiaTheme="minorEastAsia"/>
          <w:sz w:val="80"/>
          <w:szCs w:val="80"/>
        </w:rPr>
        <w:t>竞争性谈判文件</w:t>
      </w:r>
    </w:p>
    <w:p>
      <w:pPr>
        <w:ind w:firstLine="3520" w:firstLineChars="1100"/>
        <w:rPr>
          <w:rFonts w:asciiTheme="minorEastAsia" w:hAnsiTheme="minorEastAsia" w:eastAsiaTheme="minorEastAsia"/>
          <w:sz w:val="32"/>
          <w:szCs w:val="32"/>
        </w:rPr>
      </w:pPr>
    </w:p>
    <w:p>
      <w:pPr>
        <w:ind w:firstLine="1920" w:firstLineChars="400"/>
        <w:rPr>
          <w:rFonts w:asciiTheme="minorEastAsia" w:hAnsiTheme="minorEastAsia" w:eastAsiaTheme="minorEastAsia"/>
          <w:sz w:val="48"/>
          <w:szCs w:val="48"/>
        </w:rPr>
      </w:pPr>
    </w:p>
    <w:p>
      <w:pPr>
        <w:ind w:firstLine="1920" w:firstLineChars="400"/>
        <w:rPr>
          <w:rFonts w:asciiTheme="minorEastAsia" w:hAnsiTheme="minorEastAsia" w:eastAsiaTheme="minorEastAsia"/>
          <w:sz w:val="48"/>
          <w:szCs w:val="48"/>
        </w:rPr>
      </w:pPr>
    </w:p>
    <w:p>
      <w:pPr>
        <w:rPr>
          <w:rFonts w:asciiTheme="minorEastAsia" w:hAnsiTheme="minorEastAsia" w:eastAsiaTheme="minorEastAsia"/>
          <w:sz w:val="48"/>
          <w:szCs w:val="48"/>
        </w:rPr>
      </w:pPr>
    </w:p>
    <w:p>
      <w:pPr>
        <w:ind w:firstLine="1285" w:firstLineChars="400"/>
        <w:rPr>
          <w:rFonts w:eastAsia="黑体"/>
          <w:b/>
          <w:bCs/>
          <w:sz w:val="32"/>
        </w:rPr>
      </w:pPr>
      <w:r>
        <w:rPr>
          <w:rFonts w:hint="eastAsia" w:eastAsia="黑体"/>
          <w:b/>
          <w:bCs/>
          <w:sz w:val="32"/>
        </w:rPr>
        <w:t>项目名称：赣州市人民医院医用灯泡及监护仪常规配件项目</w:t>
      </w:r>
    </w:p>
    <w:p>
      <w:pPr>
        <w:spacing w:line="480" w:lineRule="auto"/>
        <w:rPr>
          <w:rFonts w:eastAsia="黑体"/>
          <w:b/>
          <w:bCs/>
          <w:sz w:val="32"/>
        </w:rPr>
      </w:pPr>
    </w:p>
    <w:p>
      <w:pPr>
        <w:spacing w:line="480" w:lineRule="auto"/>
        <w:rPr>
          <w:rFonts w:eastAsia="黑体"/>
          <w:b/>
          <w:bCs/>
          <w:sz w:val="32"/>
        </w:rPr>
      </w:pPr>
    </w:p>
    <w:p>
      <w:pPr>
        <w:pStyle w:val="10"/>
        <w:spacing w:line="460" w:lineRule="exact"/>
        <w:ind w:firstLine="1285" w:firstLineChars="400"/>
        <w:rPr>
          <w:rFonts w:ascii="宋体" w:hAnsi="宋体" w:cs="宋体"/>
          <w:b/>
          <w:bCs/>
          <w:sz w:val="30"/>
          <w:szCs w:val="30"/>
        </w:rPr>
      </w:pPr>
      <w:r>
        <w:rPr>
          <w:rFonts w:hint="eastAsia" w:eastAsia="黑体"/>
          <w:b/>
          <w:bCs/>
          <w:sz w:val="32"/>
        </w:rPr>
        <w:t>项目编号：</w:t>
      </w:r>
      <w:r>
        <w:rPr>
          <w:rFonts w:hint="eastAsia" w:ascii="宋体" w:hAnsi="宋体" w:cs="宋体"/>
          <w:b/>
          <w:bCs/>
          <w:sz w:val="30"/>
          <w:szCs w:val="30"/>
        </w:rPr>
        <w:t>YN20</w:t>
      </w:r>
      <w:r>
        <w:rPr>
          <w:rFonts w:ascii="宋体" w:hAnsi="宋体" w:cs="宋体"/>
          <w:b/>
          <w:bCs/>
          <w:sz w:val="30"/>
          <w:szCs w:val="30"/>
        </w:rPr>
        <w:t>20</w:t>
      </w:r>
      <w:r>
        <w:rPr>
          <w:rFonts w:hint="eastAsia" w:ascii="宋体" w:hAnsi="宋体" w:cs="宋体"/>
          <w:b/>
          <w:bCs/>
          <w:sz w:val="30"/>
          <w:szCs w:val="30"/>
        </w:rPr>
        <w:t>-029</w:t>
      </w:r>
    </w:p>
    <w:p>
      <w:pPr>
        <w:spacing w:line="480" w:lineRule="auto"/>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jc w:val="center"/>
        <w:rPr>
          <w:rFonts w:eastAsia="黑体"/>
          <w:b/>
          <w:bCs/>
          <w:sz w:val="32"/>
        </w:rPr>
      </w:pPr>
      <w:r>
        <w:rPr>
          <w:rFonts w:hint="eastAsia" w:eastAsia="黑体"/>
          <w:b/>
          <w:bCs/>
          <w:sz w:val="32"/>
        </w:rPr>
        <w:t>赣州市人民医院</w:t>
      </w:r>
    </w:p>
    <w:p>
      <w:pPr>
        <w:jc w:val="center"/>
        <w:rPr>
          <w:rFonts w:eastAsia="黑体"/>
          <w:b/>
          <w:bCs/>
          <w:sz w:val="32"/>
        </w:rPr>
      </w:pPr>
    </w:p>
    <w:p>
      <w:pPr>
        <w:jc w:val="center"/>
        <w:rPr>
          <w:rFonts w:asciiTheme="minorEastAsia" w:hAnsiTheme="minorEastAsia" w:eastAsiaTheme="minorEastAsia"/>
          <w:b/>
          <w:sz w:val="36"/>
        </w:rPr>
      </w:pPr>
      <w:r>
        <w:rPr>
          <w:rFonts w:hint="eastAsia" w:eastAsia="黑体"/>
          <w:b/>
          <w:bCs/>
          <w:sz w:val="32"/>
        </w:rPr>
        <w:t>二0二0年</w:t>
      </w:r>
      <w:r>
        <w:rPr>
          <w:rFonts w:hint="eastAsia" w:eastAsia="黑体"/>
          <w:b/>
          <w:bCs/>
          <w:sz w:val="32"/>
          <w:lang w:eastAsia="zh-CN"/>
        </w:rPr>
        <w:t>十</w:t>
      </w:r>
      <w:r>
        <w:rPr>
          <w:rFonts w:hint="eastAsia" w:eastAsia="黑体"/>
          <w:b/>
          <w:bCs/>
          <w:sz w:val="32"/>
        </w:rPr>
        <w:t>月</w:t>
      </w:r>
      <w:r>
        <w:rPr>
          <w:rFonts w:hint="eastAsia" w:eastAsia="黑体"/>
          <w:b/>
          <w:bCs/>
          <w:sz w:val="32"/>
          <w:lang w:eastAsia="zh-CN"/>
        </w:rPr>
        <w:t>一十二</w:t>
      </w:r>
      <w:r>
        <w:rPr>
          <w:rFonts w:hint="eastAsia" w:eastAsia="黑体"/>
          <w:b/>
          <w:bCs/>
          <w:sz w:val="32"/>
        </w:rPr>
        <w:t>日</w:t>
      </w:r>
      <w:r>
        <w:rPr>
          <w:rFonts w:asciiTheme="minorEastAsia" w:hAnsiTheme="minorEastAsia" w:eastAsiaTheme="minorEastAsia"/>
          <w:b/>
          <w:sz w:val="36"/>
        </w:rPr>
        <w:br w:type="page"/>
      </w:r>
    </w:p>
    <w:p>
      <w:pPr>
        <w:adjustRightInd w:val="0"/>
        <w:snapToGrid w:val="0"/>
        <w:spacing w:line="560" w:lineRule="exact"/>
        <w:ind w:left="-2" w:firstLine="538"/>
        <w:jc w:val="center"/>
        <w:rPr>
          <w:rFonts w:asciiTheme="minorEastAsia" w:hAnsiTheme="minorEastAsia" w:eastAsiaTheme="minorEastAsia"/>
          <w:bCs/>
          <w:sz w:val="52"/>
        </w:rPr>
      </w:pPr>
      <w:r>
        <w:rPr>
          <w:rFonts w:hint="eastAsia" w:asciiTheme="minorEastAsia" w:hAnsiTheme="minorEastAsia" w:eastAsiaTheme="minorEastAsia"/>
          <w:bCs/>
          <w:sz w:val="52"/>
        </w:rPr>
        <w:t>目录</w:t>
      </w:r>
    </w:p>
    <w:p>
      <w:pPr>
        <w:adjustRightInd w:val="0"/>
        <w:snapToGrid w:val="0"/>
        <w:spacing w:line="560" w:lineRule="exact"/>
        <w:ind w:left="-2" w:firstLine="538"/>
        <w:jc w:val="center"/>
        <w:rPr>
          <w:rFonts w:asciiTheme="minorEastAsia" w:hAnsiTheme="minorEastAsia" w:eastAsiaTheme="minorEastAsia"/>
          <w:bCs/>
          <w:sz w:val="52"/>
        </w:rPr>
      </w:pPr>
    </w:p>
    <w:p>
      <w:pPr>
        <w:adjustRightInd w:val="0"/>
        <w:snapToGrid w:val="0"/>
        <w:spacing w:line="560" w:lineRule="exact"/>
        <w:ind w:left="-2" w:firstLine="538"/>
        <w:jc w:val="center"/>
        <w:rPr>
          <w:rFonts w:asciiTheme="minorEastAsia" w:hAnsiTheme="minorEastAsia" w:eastAsiaTheme="minorEastAsia"/>
          <w:bCs/>
          <w:sz w:val="52"/>
        </w:rPr>
      </w:pPr>
    </w:p>
    <w:p>
      <w:pPr>
        <w:pStyle w:val="14"/>
        <w:ind w:firstLine="420"/>
        <w:rPr>
          <w:rFonts w:asciiTheme="minorHAnsi" w:hAnsiTheme="minorHAnsi" w:eastAsiaTheme="minorEastAsia" w:cstheme="minorBidi"/>
          <w:b w:val="0"/>
          <w:szCs w:val="22"/>
        </w:rPr>
      </w:pPr>
      <w:r>
        <w:rPr>
          <w:rStyle w:val="22"/>
          <w:rFonts w:asciiTheme="minorEastAsia" w:hAnsiTheme="minorEastAsia" w:eastAsiaTheme="minorEastAsia"/>
          <w:b w:val="0"/>
          <w:color w:val="auto"/>
          <w:shd w:val="pct10" w:color="auto" w:fill="FFFFFF"/>
        </w:rPr>
        <w:fldChar w:fldCharType="begin"/>
      </w:r>
      <w:r>
        <w:rPr>
          <w:rStyle w:val="22"/>
          <w:rFonts w:hint="eastAsia" w:asciiTheme="minorEastAsia" w:hAnsiTheme="minorEastAsia" w:eastAsiaTheme="minorEastAsia"/>
          <w:b w:val="0"/>
          <w:color w:val="auto"/>
          <w:shd w:val="pct10" w:color="auto" w:fill="FFFFFF"/>
        </w:rPr>
        <w:instrText xml:space="preserve">TOC \o "1-3" \h \z \u</w:instrText>
      </w:r>
      <w:r>
        <w:rPr>
          <w:rStyle w:val="22"/>
          <w:rFonts w:asciiTheme="minorEastAsia" w:hAnsiTheme="minorEastAsia" w:eastAsiaTheme="minorEastAsia"/>
          <w:b w:val="0"/>
          <w:color w:val="auto"/>
          <w:shd w:val="pct10" w:color="auto" w:fill="FFFFFF"/>
        </w:rPr>
        <w:fldChar w:fldCharType="separate"/>
      </w:r>
      <w:r>
        <w:fldChar w:fldCharType="begin"/>
      </w:r>
      <w:r>
        <w:instrText xml:space="preserve"> HYPERLINK \l "_Toc533775662" </w:instrText>
      </w:r>
      <w:r>
        <w:fldChar w:fldCharType="separate"/>
      </w:r>
      <w:r>
        <w:rPr>
          <w:rStyle w:val="22"/>
          <w:rFonts w:hint="eastAsia"/>
          <w:color w:val="auto"/>
        </w:rPr>
        <w:t>第一章　谈判公告</w:t>
      </w:r>
      <w:r>
        <w:tab/>
      </w:r>
      <w:r>
        <w:fldChar w:fldCharType="begin"/>
      </w:r>
      <w:r>
        <w:instrText xml:space="preserve"> PAGEREF _Toc533775662 \h </w:instrText>
      </w:r>
      <w:r>
        <w:fldChar w:fldCharType="separate"/>
      </w:r>
      <w:r>
        <w:t>3</w:t>
      </w:r>
      <w:r>
        <w:fldChar w:fldCharType="end"/>
      </w:r>
      <w:r>
        <w:fldChar w:fldCharType="end"/>
      </w:r>
    </w:p>
    <w:p>
      <w:pPr>
        <w:pStyle w:val="14"/>
        <w:ind w:firstLine="420"/>
        <w:rPr>
          <w:rFonts w:asciiTheme="minorHAnsi" w:hAnsiTheme="minorHAnsi" w:eastAsiaTheme="minorEastAsia" w:cstheme="minorBidi"/>
          <w:b w:val="0"/>
          <w:szCs w:val="22"/>
        </w:rPr>
      </w:pPr>
    </w:p>
    <w:p>
      <w:pPr>
        <w:pStyle w:val="14"/>
        <w:rPr>
          <w:rFonts w:asciiTheme="minorHAnsi" w:hAnsiTheme="minorHAnsi" w:eastAsiaTheme="minorEastAsia" w:cstheme="minorBidi"/>
          <w:b w:val="0"/>
          <w:szCs w:val="22"/>
        </w:rPr>
      </w:pPr>
      <w:r>
        <w:fldChar w:fldCharType="begin"/>
      </w:r>
      <w:r>
        <w:instrText xml:space="preserve"> HYPERLINK \l "_Toc533775665" </w:instrText>
      </w:r>
      <w:r>
        <w:fldChar w:fldCharType="separate"/>
      </w:r>
      <w:r>
        <w:rPr>
          <w:rStyle w:val="22"/>
          <w:rFonts w:hint="eastAsia"/>
          <w:color w:val="auto"/>
        </w:rPr>
        <w:t>第二章谈判文件</w:t>
      </w:r>
      <w:r>
        <w:tab/>
      </w:r>
      <w:r>
        <w:rPr>
          <w:rFonts w:hint="eastAsia"/>
        </w:rPr>
        <w:t>3</w:t>
      </w:r>
      <w:r>
        <w:rPr>
          <w:rFonts w:hint="eastAsia"/>
        </w:rPr>
        <w:fldChar w:fldCharType="end"/>
      </w:r>
    </w:p>
    <w:p>
      <w:pPr>
        <w:pStyle w:val="14"/>
        <w:rPr>
          <w:rFonts w:asciiTheme="minorHAnsi" w:hAnsiTheme="minorHAnsi" w:eastAsiaTheme="minorEastAsia" w:cstheme="minorBidi"/>
          <w:b w:val="0"/>
          <w:szCs w:val="22"/>
        </w:rPr>
      </w:pPr>
      <w:r>
        <w:rPr>
          <w:rStyle w:val="22"/>
          <w:rFonts w:hint="eastAsia"/>
          <w:color w:val="auto"/>
          <w:szCs w:val="22"/>
        </w:rPr>
        <w:t>一、采购项目需求</w:t>
      </w:r>
      <w:r>
        <w:fldChar w:fldCharType="begin"/>
      </w:r>
      <w:r>
        <w:instrText xml:space="preserve"> HYPERLINK \l "_Toc533775666" </w:instrText>
      </w:r>
      <w:r>
        <w:fldChar w:fldCharType="separate"/>
      </w:r>
      <w:r>
        <w:tab/>
      </w:r>
      <w:r>
        <w:rPr>
          <w:rFonts w:hint="eastAsia"/>
        </w:rPr>
        <w:t>3</w:t>
      </w:r>
      <w:r>
        <w:rPr>
          <w:rFonts w:hint="eastAsia"/>
        </w:rPr>
        <w:fldChar w:fldCharType="end"/>
      </w:r>
    </w:p>
    <w:p>
      <w:pPr>
        <w:pStyle w:val="14"/>
        <w:rPr>
          <w:rFonts w:asciiTheme="minorHAnsi" w:hAnsiTheme="minorHAnsi" w:eastAsiaTheme="minorEastAsia" w:cstheme="minorBidi"/>
          <w:b w:val="0"/>
          <w:szCs w:val="22"/>
        </w:rPr>
      </w:pPr>
      <w:r>
        <w:fldChar w:fldCharType="begin"/>
      </w:r>
      <w:r>
        <w:instrText xml:space="preserve"> HYPERLINK \l "_Toc533775668" </w:instrText>
      </w:r>
      <w:r>
        <w:fldChar w:fldCharType="separate"/>
      </w:r>
      <w:r>
        <w:rPr>
          <w:rStyle w:val="22"/>
          <w:rFonts w:hint="eastAsia"/>
          <w:color w:val="auto"/>
        </w:rPr>
        <w:t>二、响应文件的编制</w:t>
      </w:r>
      <w:r>
        <w:tab/>
      </w:r>
      <w:r>
        <w:rPr>
          <w:rFonts w:hint="eastAsia"/>
        </w:rPr>
        <w:t>4</w:t>
      </w:r>
      <w:r>
        <w:rPr>
          <w:rFonts w:hint="eastAsia"/>
        </w:rPr>
        <w:fldChar w:fldCharType="end"/>
      </w:r>
    </w:p>
    <w:p>
      <w:pPr>
        <w:pStyle w:val="14"/>
        <w:rPr>
          <w:rFonts w:asciiTheme="minorHAnsi" w:hAnsiTheme="minorHAnsi" w:eastAsiaTheme="minorEastAsia" w:cstheme="minorBidi"/>
          <w:b w:val="0"/>
          <w:szCs w:val="22"/>
        </w:rPr>
      </w:pPr>
      <w:r>
        <w:rPr>
          <w:rFonts w:hint="eastAsia"/>
        </w:rPr>
        <w:t>三</w:t>
      </w:r>
      <w:r>
        <w:fldChar w:fldCharType="begin"/>
      </w:r>
      <w:r>
        <w:instrText xml:space="preserve"> HYPERLINK \l "_Toc533775670" </w:instrText>
      </w:r>
      <w:r>
        <w:fldChar w:fldCharType="separate"/>
      </w:r>
      <w:r>
        <w:rPr>
          <w:rStyle w:val="22"/>
          <w:rFonts w:hint="eastAsia"/>
          <w:color w:val="auto"/>
        </w:rPr>
        <w:t>、谈判</w:t>
      </w:r>
      <w:r>
        <w:tab/>
      </w:r>
      <w:r>
        <w:rPr>
          <w:rFonts w:hint="eastAsia"/>
        </w:rPr>
        <w:t>7</w:t>
      </w:r>
      <w:r>
        <w:rPr>
          <w:rFonts w:hint="eastAsia"/>
        </w:rPr>
        <w:fldChar w:fldCharType="end"/>
      </w:r>
    </w:p>
    <w:p>
      <w:pPr>
        <w:pStyle w:val="14"/>
        <w:rPr>
          <w:rFonts w:asciiTheme="minorHAnsi" w:hAnsiTheme="minorHAnsi" w:eastAsiaTheme="minorEastAsia" w:cstheme="minorBidi"/>
          <w:b w:val="0"/>
          <w:szCs w:val="22"/>
        </w:rPr>
      </w:pPr>
      <w:r>
        <w:fldChar w:fldCharType="begin"/>
      </w:r>
      <w:r>
        <w:instrText xml:space="preserve"> HYPERLINK \l "_Toc533775677" </w:instrText>
      </w:r>
      <w:r>
        <w:fldChar w:fldCharType="separate"/>
      </w:r>
      <w:r>
        <w:rPr>
          <w:rStyle w:val="22"/>
          <w:rFonts w:hint="eastAsia"/>
          <w:color w:val="auto"/>
        </w:rPr>
        <w:t>第三章　合同草案</w:t>
      </w:r>
      <w:r>
        <w:tab/>
      </w:r>
      <w:r>
        <w:fldChar w:fldCharType="begin"/>
      </w:r>
      <w:r>
        <w:instrText xml:space="preserve"> PAGEREF _Toc533775677 \h </w:instrText>
      </w:r>
      <w:r>
        <w:fldChar w:fldCharType="separate"/>
      </w:r>
      <w:r>
        <w:t>13</w:t>
      </w:r>
      <w:r>
        <w:fldChar w:fldCharType="end"/>
      </w:r>
      <w:r>
        <w:fldChar w:fldCharType="end"/>
      </w:r>
    </w:p>
    <w:p>
      <w:pPr>
        <w:pStyle w:val="14"/>
        <w:rPr>
          <w:rFonts w:asciiTheme="minorHAnsi" w:hAnsiTheme="minorHAnsi" w:eastAsiaTheme="minorEastAsia" w:cstheme="minorBidi"/>
          <w:b w:val="0"/>
          <w:szCs w:val="22"/>
        </w:rPr>
      </w:pPr>
      <w:r>
        <w:fldChar w:fldCharType="begin"/>
      </w:r>
      <w:r>
        <w:instrText xml:space="preserve"> HYPERLINK \l "_Toc533775678" </w:instrText>
      </w:r>
      <w:r>
        <w:fldChar w:fldCharType="separate"/>
      </w:r>
      <w:r>
        <w:rPr>
          <w:rStyle w:val="22"/>
          <w:rFonts w:hint="eastAsia"/>
          <w:color w:val="auto"/>
        </w:rPr>
        <w:t>附件响应文件格式</w:t>
      </w:r>
      <w:r>
        <w:tab/>
      </w:r>
      <w:r>
        <w:rPr>
          <w:rFonts w:hint="eastAsia"/>
        </w:rPr>
        <w:t>1</w:t>
      </w:r>
      <w:r>
        <w:fldChar w:fldCharType="begin"/>
      </w:r>
      <w:r>
        <w:instrText xml:space="preserve"> PAGEREF _Toc533775678 \h </w:instrText>
      </w:r>
      <w:r>
        <w:fldChar w:fldCharType="separate"/>
      </w:r>
      <w:r>
        <w:t>15</w:t>
      </w:r>
      <w:r>
        <w:fldChar w:fldCharType="end"/>
      </w:r>
      <w:r>
        <w:fldChar w:fldCharType="end"/>
      </w:r>
    </w:p>
    <w:p>
      <w:pPr>
        <w:pStyle w:val="14"/>
        <w:ind w:firstLine="420"/>
        <w:rPr>
          <w:rFonts w:asciiTheme="minorHAnsi" w:hAnsiTheme="minorHAnsi" w:eastAsiaTheme="minorEastAsia" w:cstheme="minorBidi"/>
          <w:b w:val="0"/>
          <w:szCs w:val="22"/>
        </w:rPr>
      </w:pPr>
    </w:p>
    <w:p>
      <w:pPr>
        <w:pStyle w:val="14"/>
        <w:ind w:firstLine="420"/>
        <w:rPr>
          <w:rStyle w:val="22"/>
          <w:rFonts w:asciiTheme="minorEastAsia" w:hAnsiTheme="minorEastAsia" w:eastAsiaTheme="minorEastAsia"/>
          <w:b w:val="0"/>
          <w:color w:val="auto"/>
        </w:rPr>
      </w:pPr>
      <w:r>
        <w:rPr>
          <w:rStyle w:val="22"/>
          <w:rFonts w:asciiTheme="minorEastAsia" w:hAnsiTheme="minorEastAsia" w:eastAsiaTheme="minorEastAsia"/>
          <w:b w:val="0"/>
          <w:color w:val="auto"/>
          <w:shd w:val="pct10" w:color="auto" w:fill="FFFFFF"/>
        </w:rPr>
        <w:fldChar w:fldCharType="end"/>
      </w:r>
    </w:p>
    <w:p>
      <w:pPr>
        <w:pStyle w:val="14"/>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sectPr>
          <w:footerReference r:id="rId6" w:type="first"/>
          <w:headerReference r:id="rId3" w:type="default"/>
          <w:footerReference r:id="rId4" w:type="default"/>
          <w:footerReference r:id="rId5" w:type="even"/>
          <w:pgSz w:w="11907" w:h="16840"/>
          <w:pgMar w:top="1474" w:right="850" w:bottom="1474" w:left="1134" w:header="720" w:footer="720" w:gutter="0"/>
          <w:pgNumType w:start="1"/>
          <w:cols w:space="720" w:num="1"/>
          <w:titlePg/>
          <w:docGrid w:linePitch="285" w:charSpace="0"/>
        </w:sectPr>
      </w:pPr>
    </w:p>
    <w:p>
      <w:pPr>
        <w:pStyle w:val="2"/>
        <w:spacing w:before="240" w:after="240"/>
        <w:jc w:val="center"/>
        <w:rPr>
          <w:rFonts w:hAnsi="宋体" w:cs="宋体"/>
          <w:sz w:val="30"/>
          <w:szCs w:val="30"/>
        </w:rPr>
      </w:pPr>
      <w:bookmarkStart w:id="0" w:name="_Toc533775662"/>
      <w:r>
        <w:rPr>
          <w:rFonts w:hint="eastAsia"/>
          <w:b/>
          <w:sz w:val="32"/>
        </w:rPr>
        <w:t>第一章　谈判</w:t>
      </w:r>
      <w:bookmarkEnd w:id="0"/>
      <w:r>
        <w:rPr>
          <w:rFonts w:hint="eastAsia"/>
          <w:b/>
          <w:sz w:val="32"/>
        </w:rPr>
        <w:t>公告</w:t>
      </w:r>
    </w:p>
    <w:p>
      <w:pPr>
        <w:spacing w:line="460" w:lineRule="exact"/>
        <w:ind w:firstLine="600" w:firstLineChars="200"/>
        <w:rPr>
          <w:rFonts w:ascii="宋体" w:hAnsi="宋体" w:cs="宋体"/>
          <w:sz w:val="30"/>
          <w:szCs w:val="30"/>
        </w:rPr>
      </w:pPr>
      <w:r>
        <w:rPr>
          <w:rFonts w:hint="eastAsia" w:ascii="宋体" w:hAnsi="宋体" w:cs="宋体"/>
          <w:sz w:val="30"/>
          <w:szCs w:val="30"/>
        </w:rPr>
        <w:t>赣州市人民医院近期将对医用灯泡及监护仪常规配件项目进行竞争性谈判采购。欢迎符合资格条件的供应商前来参加。</w:t>
      </w:r>
    </w:p>
    <w:p>
      <w:pPr>
        <w:pStyle w:val="10"/>
        <w:spacing w:line="460" w:lineRule="exact"/>
        <w:ind w:firstLine="602"/>
        <w:rPr>
          <w:rFonts w:ascii="宋体" w:hAnsi="宋体" w:cs="宋体"/>
          <w:sz w:val="30"/>
          <w:szCs w:val="30"/>
        </w:rPr>
      </w:pPr>
      <w:r>
        <w:rPr>
          <w:rFonts w:hint="eastAsia" w:ascii="宋体" w:hAnsi="宋体" w:cs="宋体"/>
          <w:b/>
          <w:bCs/>
          <w:sz w:val="30"/>
          <w:szCs w:val="30"/>
        </w:rPr>
        <w:t>（一）项目编号：</w:t>
      </w:r>
      <w:r>
        <w:rPr>
          <w:rFonts w:hint="eastAsia" w:ascii="宋体" w:hAnsi="宋体" w:cs="宋体"/>
          <w:sz w:val="30"/>
          <w:szCs w:val="30"/>
        </w:rPr>
        <w:t>YN2020-029</w:t>
      </w:r>
    </w:p>
    <w:p>
      <w:pPr>
        <w:pStyle w:val="10"/>
        <w:spacing w:line="460" w:lineRule="exact"/>
        <w:ind w:firstLine="602"/>
        <w:rPr>
          <w:rFonts w:ascii="宋体" w:hAnsi="宋体" w:cs="宋体"/>
          <w:sz w:val="30"/>
          <w:szCs w:val="30"/>
        </w:rPr>
      </w:pPr>
      <w:r>
        <w:rPr>
          <w:rFonts w:hint="eastAsia" w:ascii="宋体" w:hAnsi="宋体" w:cs="宋体"/>
          <w:b/>
          <w:bCs/>
          <w:sz w:val="30"/>
          <w:szCs w:val="30"/>
        </w:rPr>
        <w:t>（二）采购方式：</w:t>
      </w:r>
      <w:r>
        <w:rPr>
          <w:rFonts w:hint="eastAsia" w:ascii="宋体" w:hAnsi="宋体" w:cs="宋体"/>
          <w:sz w:val="30"/>
          <w:szCs w:val="30"/>
        </w:rPr>
        <w:t>竞争性谈判</w:t>
      </w:r>
    </w:p>
    <w:p>
      <w:pPr>
        <w:pStyle w:val="10"/>
        <w:spacing w:line="460" w:lineRule="exact"/>
        <w:ind w:firstLine="602"/>
        <w:rPr>
          <w:rFonts w:ascii="宋体" w:hAnsi="宋体" w:cs="宋体"/>
          <w:color w:val="auto"/>
          <w:sz w:val="30"/>
          <w:szCs w:val="30"/>
        </w:rPr>
      </w:pPr>
      <w:r>
        <w:rPr>
          <w:rFonts w:hint="eastAsia" w:ascii="宋体" w:hAnsi="宋体" w:cs="宋体"/>
          <w:b/>
          <w:bCs/>
          <w:sz w:val="30"/>
          <w:szCs w:val="30"/>
        </w:rPr>
        <w:t>（三）采购内容：</w:t>
      </w:r>
    </w:p>
    <w:tbl>
      <w:tblPr>
        <w:tblStyle w:val="18"/>
        <w:tblW w:w="9660" w:type="dxa"/>
        <w:tblInd w:w="0" w:type="dxa"/>
        <w:tblLayout w:type="autofit"/>
        <w:tblCellMar>
          <w:top w:w="0" w:type="dxa"/>
          <w:left w:w="0" w:type="dxa"/>
          <w:bottom w:w="0" w:type="dxa"/>
          <w:right w:w="0" w:type="dxa"/>
        </w:tblCellMar>
      </w:tblPr>
      <w:tblGrid>
        <w:gridCol w:w="540"/>
        <w:gridCol w:w="1650"/>
        <w:gridCol w:w="1005"/>
        <w:gridCol w:w="1425"/>
        <w:gridCol w:w="1470"/>
        <w:gridCol w:w="3570"/>
      </w:tblGrid>
      <w:tr>
        <w:tblPrEx>
          <w:tblCellMar>
            <w:top w:w="0" w:type="dxa"/>
            <w:left w:w="0" w:type="dxa"/>
            <w:bottom w:w="0" w:type="dxa"/>
            <w:right w:w="0" w:type="dxa"/>
          </w:tblCellMar>
        </w:tblPrEx>
        <w:trPr>
          <w:trHeight w:val="5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设备（配件）名称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数量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单价（元）</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总价</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82" w:firstLineChars="200"/>
              <w:jc w:val="center"/>
              <w:textAlignment w:val="center"/>
              <w:rPr>
                <w:rFonts w:ascii="宋体" w:hAnsi="宋体" w:cs="宋体"/>
                <w:b/>
                <w:color w:val="auto"/>
                <w:sz w:val="24"/>
                <w:szCs w:val="24"/>
              </w:rPr>
            </w:pPr>
            <w:r>
              <w:rPr>
                <w:rFonts w:hint="eastAsia" w:ascii="宋体" w:hAnsi="宋体" w:cs="宋体"/>
                <w:b/>
                <w:color w:val="auto"/>
                <w:kern w:val="0"/>
                <w:sz w:val="24"/>
                <w:szCs w:val="24"/>
              </w:rPr>
              <w:t>主要技术规格及要求</w:t>
            </w:r>
          </w:p>
        </w:tc>
      </w:tr>
      <w:tr>
        <w:tblPrEx>
          <w:tblCellMar>
            <w:top w:w="0" w:type="dxa"/>
            <w:left w:w="0" w:type="dxa"/>
            <w:bottom w:w="0" w:type="dxa"/>
            <w:right w:w="0" w:type="dxa"/>
          </w:tblCellMar>
        </w:tblPrEx>
        <w:trPr>
          <w:trHeight w:val="657"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4"/>
                <w:szCs w:val="24"/>
              </w:rPr>
            </w:pPr>
            <w:r>
              <w:rPr>
                <w:rFonts w:hint="eastAsia" w:ascii="宋体" w:hAnsi="宋体" w:cs="宋体"/>
                <w:color w:val="auto"/>
                <w:kern w:val="0"/>
                <w:sz w:val="24"/>
                <w:szCs w:val="24"/>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auto"/>
                <w:sz w:val="24"/>
                <w:szCs w:val="24"/>
              </w:rPr>
            </w:pPr>
            <w:r>
              <w:rPr>
                <w:rFonts w:ascii="仿宋_GB2312" w:hAnsi="宋体" w:eastAsia="仿宋_GB2312" w:cs="仿宋_GB2312"/>
                <w:color w:val="auto"/>
                <w:kern w:val="0"/>
                <w:sz w:val="24"/>
                <w:szCs w:val="24"/>
              </w:rPr>
              <w:t>美国匹克PE-300BFA氙灯</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auto"/>
                <w:sz w:val="24"/>
                <w:szCs w:val="24"/>
              </w:rPr>
            </w:pPr>
            <w:r>
              <w:rPr>
                <w:rFonts w:ascii="仿宋_GB2312" w:hAnsi="宋体" w:eastAsia="仿宋_GB2312" w:cs="仿宋_GB2312"/>
                <w:color w:val="auto"/>
                <w:kern w:val="0"/>
                <w:sz w:val="24"/>
                <w:szCs w:val="24"/>
              </w:rPr>
              <w:t>15</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2534.4</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38016</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_GB2312" w:hAnsi="宋体" w:eastAsia="仿宋_GB2312" w:cs="仿宋_GB2312"/>
                <w:color w:val="auto"/>
                <w:sz w:val="24"/>
                <w:szCs w:val="24"/>
                <w:lang w:val="en-US" w:eastAsia="zh-CN"/>
              </w:rPr>
            </w:pPr>
            <w:r>
              <w:rPr>
                <w:rFonts w:ascii="仿宋_GB2312" w:hAnsi="宋体" w:eastAsia="仿宋_GB2312" w:cs="仿宋_GB2312"/>
                <w:color w:val="auto"/>
                <w:kern w:val="0"/>
                <w:sz w:val="24"/>
                <w:szCs w:val="24"/>
              </w:rPr>
              <w:t>美国匹克牌，与其他品牌冷光源通用</w:t>
            </w:r>
            <w:r>
              <w:rPr>
                <w:rFonts w:hint="default" w:ascii="仿宋_GB2312" w:hAnsi="宋体" w:eastAsia="仿宋_GB2312" w:cs="仿宋_GB2312"/>
                <w:color w:val="auto"/>
                <w:kern w:val="0"/>
                <w:sz w:val="24"/>
                <w:szCs w:val="24"/>
                <w:lang w:val="en-US"/>
              </w:rPr>
              <w:t>,</w:t>
            </w:r>
            <w:r>
              <w:rPr>
                <w:rFonts w:hint="eastAsia" w:ascii="仿宋_GB2312" w:hAnsi="宋体" w:eastAsia="仿宋_GB2312" w:cs="仿宋_GB2312"/>
                <w:color w:val="auto"/>
                <w:kern w:val="0"/>
                <w:sz w:val="24"/>
                <w:szCs w:val="24"/>
                <w:lang w:val="en-US" w:eastAsia="zh-CN"/>
              </w:rPr>
              <w:t>保修500个小时</w:t>
            </w:r>
          </w:p>
        </w:tc>
      </w:tr>
      <w:tr>
        <w:tblPrEx>
          <w:tblCellMar>
            <w:top w:w="0" w:type="dxa"/>
            <w:left w:w="0" w:type="dxa"/>
            <w:bottom w:w="0" w:type="dxa"/>
            <w:right w:w="0" w:type="dxa"/>
          </w:tblCellMar>
        </w:tblPrEx>
        <w:trPr>
          <w:trHeight w:val="6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ascii="仿宋_GB2312" w:hAnsi="宋体" w:eastAsia="仿宋_GB2312" w:cs="仿宋_GB2312"/>
                <w:kern w:val="0"/>
                <w:sz w:val="24"/>
                <w:szCs w:val="24"/>
              </w:rPr>
              <w:t>史塞克8000冷光源氙灯</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ascii="仿宋_GB2312" w:hAnsi="宋体" w:eastAsia="仿宋_GB2312" w:cs="仿宋_GB2312"/>
                <w:kern w:val="0"/>
                <w:sz w:val="24"/>
                <w:szCs w:val="24"/>
              </w:rPr>
              <w:t>3</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10000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30000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史塞克原装</w:t>
            </w:r>
            <w:r>
              <w:rPr>
                <w:rFonts w:hint="default" w:ascii="仿宋_GB2312" w:hAnsi="宋体" w:eastAsia="仿宋_GB2312" w:cs="仿宋_GB2312"/>
                <w:color w:val="000000"/>
                <w:kern w:val="0"/>
                <w:sz w:val="24"/>
                <w:szCs w:val="24"/>
                <w:lang w:val="en-US"/>
              </w:rPr>
              <w:t>,</w:t>
            </w:r>
            <w:r>
              <w:rPr>
                <w:rFonts w:hint="eastAsia" w:ascii="仿宋_GB2312" w:hAnsi="宋体" w:eastAsia="仿宋_GB2312" w:cs="仿宋_GB2312"/>
                <w:color w:val="000000"/>
                <w:kern w:val="0"/>
                <w:sz w:val="24"/>
                <w:szCs w:val="24"/>
                <w:lang w:val="en-US" w:eastAsia="zh-CN"/>
              </w:rPr>
              <w:t>保修500个小时</w:t>
            </w:r>
          </w:p>
        </w:tc>
      </w:tr>
      <w:tr>
        <w:tblPrEx>
          <w:tblCellMar>
            <w:top w:w="0" w:type="dxa"/>
            <w:left w:w="0" w:type="dxa"/>
            <w:bottom w:w="0" w:type="dxa"/>
            <w:right w:w="0" w:type="dxa"/>
          </w:tblCellMar>
        </w:tblPrEx>
        <w:trPr>
          <w:trHeight w:val="6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ascii="仿宋_GB2312" w:hAnsi="宋体" w:eastAsia="仿宋_GB2312" w:cs="仿宋_GB2312"/>
                <w:kern w:val="0"/>
                <w:sz w:val="24"/>
                <w:szCs w:val="24"/>
              </w:rPr>
              <w:t>无影灯米泡（24V150W)</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ascii="仿宋_GB2312" w:hAnsi="宋体" w:eastAsia="仿宋_GB2312" w:cs="仿宋_GB2312"/>
                <w:kern w:val="0"/>
                <w:sz w:val="24"/>
                <w:szCs w:val="24"/>
              </w:rPr>
              <w:t>50</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26.4</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1320</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与我院无影灯通用</w:t>
            </w:r>
            <w:r>
              <w:rPr>
                <w:rFonts w:hint="default" w:ascii="仿宋_GB2312" w:hAnsi="宋体" w:eastAsia="仿宋_GB2312" w:cs="仿宋_GB2312"/>
                <w:color w:val="000000"/>
                <w:kern w:val="0"/>
                <w:sz w:val="24"/>
                <w:szCs w:val="24"/>
                <w:lang w:val="en-US"/>
              </w:rPr>
              <w:t>,</w:t>
            </w:r>
            <w:r>
              <w:rPr>
                <w:rFonts w:hint="eastAsia" w:ascii="仿宋_GB2312" w:hAnsi="宋体" w:eastAsia="仿宋_GB2312" w:cs="仿宋_GB2312"/>
                <w:color w:val="000000"/>
                <w:kern w:val="0"/>
                <w:sz w:val="24"/>
                <w:szCs w:val="24"/>
                <w:lang w:val="en-US" w:eastAsia="zh-CN"/>
              </w:rPr>
              <w:t>保修50个小时</w:t>
            </w:r>
          </w:p>
        </w:tc>
      </w:tr>
      <w:tr>
        <w:tblPrEx>
          <w:tblCellMar>
            <w:top w:w="0" w:type="dxa"/>
            <w:left w:w="0" w:type="dxa"/>
            <w:bottom w:w="0" w:type="dxa"/>
            <w:right w:w="0" w:type="dxa"/>
          </w:tblCellMar>
        </w:tblPrEx>
        <w:trPr>
          <w:trHeight w:val="5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ascii="仿宋_GB2312" w:hAnsi="宋体" w:eastAsia="仿宋_GB2312" w:cs="仿宋_GB2312"/>
                <w:kern w:val="0"/>
                <w:sz w:val="24"/>
                <w:szCs w:val="24"/>
              </w:rPr>
              <w:t>奥林巴斯290冷光源氙灯</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ascii="仿宋_GB2312" w:hAnsi="宋体" w:eastAsia="仿宋_GB2312" w:cs="仿宋_GB2312"/>
                <w:kern w:val="0"/>
                <w:sz w:val="24"/>
                <w:szCs w:val="24"/>
              </w:rPr>
              <w:t>4</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14000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56000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奥林巴斯胃肠镜系统290原装</w:t>
            </w:r>
            <w:r>
              <w:rPr>
                <w:rFonts w:hint="default" w:ascii="仿宋_GB2312" w:hAnsi="宋体" w:eastAsia="仿宋_GB2312" w:cs="仿宋_GB2312"/>
                <w:color w:val="000000"/>
                <w:kern w:val="0"/>
                <w:sz w:val="24"/>
                <w:szCs w:val="24"/>
                <w:lang w:val="en-US"/>
              </w:rPr>
              <w:t>,</w:t>
            </w:r>
            <w:r>
              <w:rPr>
                <w:rFonts w:hint="eastAsia" w:ascii="仿宋_GB2312" w:hAnsi="宋体" w:eastAsia="仿宋_GB2312" w:cs="仿宋_GB2312"/>
                <w:color w:val="000000"/>
                <w:kern w:val="0"/>
                <w:sz w:val="24"/>
                <w:szCs w:val="24"/>
                <w:lang w:val="en-US" w:eastAsia="zh-CN"/>
              </w:rPr>
              <w:t>保修500个小时</w:t>
            </w:r>
          </w:p>
        </w:tc>
      </w:tr>
      <w:tr>
        <w:tblPrEx>
          <w:tblCellMar>
            <w:top w:w="0" w:type="dxa"/>
            <w:left w:w="0" w:type="dxa"/>
            <w:bottom w:w="0" w:type="dxa"/>
            <w:right w:w="0" w:type="dxa"/>
          </w:tblCellMar>
        </w:tblPrEx>
        <w:trPr>
          <w:trHeight w:val="4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ascii="仿宋_GB2312" w:hAnsi="宋体" w:eastAsia="仿宋_GB2312" w:cs="仿宋_GB2312"/>
                <w:kern w:val="0"/>
                <w:sz w:val="24"/>
                <w:szCs w:val="24"/>
              </w:rPr>
              <w:t>心电导联线</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sz w:val="24"/>
                <w:szCs w:val="24"/>
              </w:rPr>
            </w:pPr>
            <w:r>
              <w:rPr>
                <w:rFonts w:ascii="仿宋_GB2312" w:hAnsi="宋体" w:eastAsia="仿宋_GB2312" w:cs="仿宋_GB2312"/>
                <w:kern w:val="0"/>
                <w:sz w:val="24"/>
                <w:szCs w:val="24"/>
              </w:rPr>
              <w:t>350</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105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36750</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szCs w:val="24"/>
                <w:lang w:val="en-US"/>
              </w:rPr>
            </w:pPr>
            <w:r>
              <w:rPr>
                <w:rFonts w:ascii="仿宋_GB2312" w:hAnsi="宋体" w:eastAsia="仿宋_GB2312" w:cs="仿宋_GB2312"/>
                <w:color w:val="000000"/>
                <w:kern w:val="0"/>
                <w:sz w:val="24"/>
                <w:szCs w:val="24"/>
              </w:rPr>
              <w:t>与医院各型号监护仪匹配，提供医疗器械备案凭证或注册证，质保一年</w:t>
            </w:r>
          </w:p>
        </w:tc>
      </w:tr>
      <w:tr>
        <w:tblPrEx>
          <w:tblCellMar>
            <w:top w:w="0" w:type="dxa"/>
            <w:left w:w="0" w:type="dxa"/>
            <w:bottom w:w="0" w:type="dxa"/>
            <w:right w:w="0" w:type="dxa"/>
          </w:tblCellMar>
        </w:tblPrEx>
        <w:trPr>
          <w:trHeight w:val="4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血氧探头</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450</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110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49500</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与医院各型号监护仪匹配，提供医疗器械备案凭证或注册证，质保一年</w:t>
            </w:r>
          </w:p>
        </w:tc>
      </w:tr>
      <w:tr>
        <w:tblPrEx>
          <w:tblCellMar>
            <w:top w:w="0" w:type="dxa"/>
            <w:left w:w="0" w:type="dxa"/>
            <w:bottom w:w="0" w:type="dxa"/>
            <w:right w:w="0" w:type="dxa"/>
          </w:tblCellMar>
        </w:tblPrEx>
        <w:trPr>
          <w:trHeight w:val="4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7</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血压袖带</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400</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28</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11200</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与医院各型号监护仪匹配，提供医疗器械备案凭证或注册证</w:t>
            </w:r>
          </w:p>
        </w:tc>
      </w:tr>
      <w:tr>
        <w:tblPrEx>
          <w:tblCellMar>
            <w:top w:w="0" w:type="dxa"/>
            <w:left w:w="0" w:type="dxa"/>
            <w:bottom w:w="0" w:type="dxa"/>
            <w:right w:w="0" w:type="dxa"/>
          </w:tblCellMar>
        </w:tblPrEx>
        <w:trPr>
          <w:trHeight w:val="4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8</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血压袖带连接管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30</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3150</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与医院各型号监护仪匹配，质保一年</w:t>
            </w:r>
          </w:p>
        </w:tc>
      </w:tr>
      <w:tr>
        <w:tblPrEx>
          <w:tblCellMar>
            <w:top w:w="0" w:type="dxa"/>
            <w:left w:w="0" w:type="dxa"/>
            <w:bottom w:w="0" w:type="dxa"/>
            <w:right w:w="0" w:type="dxa"/>
          </w:tblCellMar>
        </w:tblPrEx>
        <w:trPr>
          <w:trHeight w:val="4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9</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有创血压连线</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245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490</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与医院各型号监护仪匹配，质保一年</w:t>
            </w:r>
          </w:p>
        </w:tc>
      </w:tr>
      <w:tr>
        <w:tblPrEx>
          <w:tblCellMar>
            <w:top w:w="0" w:type="dxa"/>
            <w:left w:w="0" w:type="dxa"/>
            <w:bottom w:w="0" w:type="dxa"/>
            <w:right w:w="0" w:type="dxa"/>
          </w:tblCellMar>
        </w:tblPrEx>
        <w:trPr>
          <w:trHeight w:val="4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铅酸电池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10</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175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1750</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与医院使用铅酸电池的相应监护仪匹配，质保一年</w:t>
            </w:r>
          </w:p>
        </w:tc>
      </w:tr>
      <w:tr>
        <w:tblPrEx>
          <w:tblCellMar>
            <w:top w:w="0" w:type="dxa"/>
            <w:left w:w="0" w:type="dxa"/>
            <w:bottom w:w="0" w:type="dxa"/>
            <w:right w:w="0" w:type="dxa"/>
          </w:tblCellMar>
        </w:tblPrEx>
        <w:trPr>
          <w:trHeight w:val="4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11</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锂电池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60</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474</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28440</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迈瑞监护仪IPM8/PM10和飞利浦VM6/VM8电池通用，非原装，质保一年</w:t>
            </w:r>
          </w:p>
        </w:tc>
      </w:tr>
      <w:tr>
        <w:tblPrEx>
          <w:tblCellMar>
            <w:top w:w="0" w:type="dxa"/>
            <w:left w:w="0" w:type="dxa"/>
            <w:bottom w:w="0" w:type="dxa"/>
            <w:right w:w="0" w:type="dxa"/>
          </w:tblCellMar>
        </w:tblPrEx>
        <w:trPr>
          <w:trHeight w:val="4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3芯电源线</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100</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22</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2200</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长度≧2m，最大使用功率≧2000W，材质：铜，通过3C认证</w:t>
            </w:r>
          </w:p>
        </w:tc>
      </w:tr>
      <w:tr>
        <w:tblPrEx>
          <w:tblCellMar>
            <w:top w:w="0" w:type="dxa"/>
            <w:left w:w="0" w:type="dxa"/>
            <w:bottom w:w="0" w:type="dxa"/>
            <w:right w:w="0" w:type="dxa"/>
          </w:tblCellMar>
        </w:tblPrEx>
        <w:trPr>
          <w:trHeight w:val="4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szCs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szCs w:val="24"/>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258816</w:t>
            </w:r>
          </w:p>
        </w:tc>
        <w:tc>
          <w:tcPr>
            <w:tcW w:w="3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szCs w:val="24"/>
              </w:rPr>
            </w:pPr>
          </w:p>
        </w:tc>
      </w:tr>
    </w:tbl>
    <w:p>
      <w:pPr>
        <w:pStyle w:val="10"/>
        <w:spacing w:line="460" w:lineRule="exact"/>
        <w:ind w:firstLine="602"/>
        <w:rPr>
          <w:rFonts w:ascii="宋体" w:hAnsi="宋体" w:cs="宋体"/>
          <w:b/>
          <w:bCs/>
          <w:color w:val="auto"/>
          <w:sz w:val="30"/>
          <w:szCs w:val="30"/>
          <w:highlight w:val="none"/>
        </w:rPr>
      </w:pPr>
      <w:r>
        <w:rPr>
          <w:rFonts w:hint="eastAsia" w:ascii="宋体" w:hAnsi="宋体" w:cs="宋体"/>
          <w:b/>
          <w:bCs/>
          <w:color w:val="auto"/>
          <w:sz w:val="30"/>
          <w:szCs w:val="30"/>
          <w:highlight w:val="none"/>
        </w:rPr>
        <w:t>质保期内</w:t>
      </w:r>
      <w:r>
        <w:rPr>
          <w:rFonts w:hint="eastAsia" w:ascii="宋体" w:hAnsi="宋体" w:cs="宋体"/>
          <w:b/>
          <w:bCs/>
          <w:color w:val="auto"/>
          <w:sz w:val="30"/>
          <w:szCs w:val="30"/>
          <w:highlight w:val="none"/>
          <w:lang w:val="en-US" w:eastAsia="zh-CN"/>
        </w:rPr>
        <w:t>故障</w:t>
      </w:r>
      <w:r>
        <w:rPr>
          <w:rFonts w:hint="eastAsia" w:ascii="宋体" w:hAnsi="宋体" w:cs="宋体"/>
          <w:b/>
          <w:bCs/>
          <w:color w:val="auto"/>
          <w:sz w:val="30"/>
          <w:szCs w:val="30"/>
          <w:highlight w:val="none"/>
        </w:rPr>
        <w:t>免费退换。</w:t>
      </w:r>
    </w:p>
    <w:p>
      <w:pPr>
        <w:pStyle w:val="10"/>
        <w:spacing w:line="460" w:lineRule="exact"/>
        <w:ind w:firstLine="0" w:firstLineChars="0"/>
        <w:rPr>
          <w:rFonts w:ascii="宋体" w:hAnsi="宋体" w:cs="宋体"/>
          <w:b/>
          <w:bCs/>
          <w:color w:val="auto"/>
          <w:sz w:val="30"/>
          <w:szCs w:val="30"/>
          <w:highlight w:val="none"/>
        </w:rPr>
      </w:pPr>
      <w:r>
        <w:rPr>
          <w:rFonts w:hint="eastAsia" w:ascii="宋体" w:hAnsi="宋体" w:cs="宋体"/>
          <w:b/>
          <w:bCs/>
          <w:color w:val="auto"/>
          <w:sz w:val="30"/>
          <w:szCs w:val="30"/>
          <w:highlight w:val="none"/>
        </w:rPr>
        <w:t xml:space="preserve">  </w:t>
      </w:r>
      <w:r>
        <w:rPr>
          <w:rFonts w:hint="eastAsia" w:ascii="宋体" w:hAnsi="宋体" w:cs="宋体"/>
          <w:b/>
          <w:bCs/>
          <w:color w:val="auto"/>
          <w:sz w:val="30"/>
          <w:szCs w:val="30"/>
          <w:highlight w:val="none"/>
          <w:lang w:val="en-US" w:eastAsia="zh-CN"/>
        </w:rPr>
        <w:t xml:space="preserve">  </w:t>
      </w:r>
      <w:r>
        <w:rPr>
          <w:rFonts w:hint="eastAsia" w:ascii="宋体" w:hAnsi="宋体" w:cs="宋体"/>
          <w:b/>
          <w:bCs/>
          <w:color w:val="auto"/>
          <w:sz w:val="30"/>
          <w:szCs w:val="30"/>
          <w:highlight w:val="none"/>
        </w:rPr>
        <w:t>本次配件供应从签订合同之日起一年有效，假如未到一年但合同履行总金额达到中标金额，则本次配件供应合同在配件供应达到中标金额时提前结束。</w:t>
      </w:r>
    </w:p>
    <w:p>
      <w:pPr>
        <w:pStyle w:val="16"/>
        <w:numPr>
          <w:ilvl w:val="0"/>
          <w:numId w:val="1"/>
        </w:numPr>
        <w:spacing w:before="0" w:beforeAutospacing="0" w:after="0" w:afterAutospacing="0" w:line="460" w:lineRule="exact"/>
        <w:ind w:firstLine="602" w:firstLineChars="200"/>
        <w:jc w:val="both"/>
        <w:rPr>
          <w:kern w:val="2"/>
          <w:sz w:val="30"/>
          <w:szCs w:val="30"/>
        </w:rPr>
      </w:pPr>
      <w:r>
        <w:rPr>
          <w:rFonts w:hint="eastAsia"/>
          <w:b/>
          <w:bCs/>
          <w:color w:val="auto"/>
          <w:kern w:val="2"/>
          <w:sz w:val="30"/>
          <w:szCs w:val="30"/>
          <w:highlight w:val="none"/>
        </w:rPr>
        <w:t>谈判方式：</w:t>
      </w:r>
      <w:r>
        <w:rPr>
          <w:rFonts w:hint="eastAsia"/>
          <w:color w:val="auto"/>
          <w:kern w:val="2"/>
          <w:sz w:val="30"/>
          <w:szCs w:val="30"/>
          <w:highlight w:val="none"/>
        </w:rPr>
        <w:t>本项目不接受联合体响应。开启结束后，谈判小组所有成员集中，与各响应供应商就</w:t>
      </w:r>
      <w:r>
        <w:rPr>
          <w:rFonts w:hint="eastAsia"/>
          <w:kern w:val="2"/>
          <w:sz w:val="30"/>
          <w:szCs w:val="30"/>
        </w:rPr>
        <w:t>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第一次报价。谈判顺序由现场抽签决定。</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（五）响应供应商资格要求: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（1）基本资格条件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1、具有独立承担民事责任的能力（具有行政管理机关颁发的有效企业营业执照）。</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2、</w:t>
      </w:r>
      <w:r>
        <w:rPr>
          <w:rFonts w:hint="eastAsia"/>
          <w:kern w:val="2"/>
          <w:sz w:val="30"/>
          <w:szCs w:val="30"/>
        </w:rPr>
        <w:t>具有履行合同所必需的设备和专业技术能力（承诺书）。</w:t>
      </w:r>
    </w:p>
    <w:p>
      <w:pPr>
        <w:pStyle w:val="16"/>
        <w:spacing w:before="0" w:beforeAutospacing="0" w:after="0" w:afterAutospacing="0" w:line="460" w:lineRule="exact"/>
        <w:ind w:firstLine="600" w:firstLineChars="200"/>
        <w:jc w:val="both"/>
        <w:rPr>
          <w:rFonts w:hint="eastAsia"/>
          <w:color w:val="auto"/>
          <w:kern w:val="2"/>
          <w:sz w:val="30"/>
          <w:szCs w:val="30"/>
        </w:rPr>
      </w:pPr>
      <w:r>
        <w:rPr>
          <w:rFonts w:hint="eastAsia"/>
          <w:color w:val="auto"/>
          <w:kern w:val="2"/>
          <w:sz w:val="30"/>
          <w:szCs w:val="30"/>
        </w:rPr>
        <w:t>3、有依法缴纳税收和社会保障资金的良好记录（纳税证明和社保证明）。</w:t>
      </w:r>
    </w:p>
    <w:p>
      <w:pPr>
        <w:pStyle w:val="16"/>
        <w:spacing w:before="0" w:beforeAutospacing="0" w:after="0" w:afterAutospacing="0" w:line="460" w:lineRule="exact"/>
        <w:ind w:firstLine="602" w:firstLineChars="200"/>
        <w:jc w:val="both"/>
        <w:rPr>
          <w:rFonts w:hint="eastAsia" w:eastAsia="宋体"/>
          <w:b/>
          <w:bCs/>
          <w:color w:val="auto"/>
          <w:kern w:val="2"/>
          <w:sz w:val="30"/>
          <w:szCs w:val="30"/>
          <w:lang w:val="en-US" w:eastAsia="zh-CN"/>
        </w:rPr>
      </w:pPr>
      <w:r>
        <w:rPr>
          <w:rFonts w:hint="default"/>
          <w:b/>
          <w:bCs/>
          <w:color w:val="auto"/>
          <w:kern w:val="2"/>
          <w:sz w:val="30"/>
          <w:szCs w:val="30"/>
          <w:lang w:val="en-US"/>
        </w:rPr>
        <w:t>4</w:t>
      </w:r>
      <w:r>
        <w:rPr>
          <w:rFonts w:hint="eastAsia"/>
          <w:b/>
          <w:bCs/>
          <w:color w:val="auto"/>
          <w:kern w:val="2"/>
          <w:sz w:val="30"/>
          <w:szCs w:val="30"/>
          <w:lang w:val="en-US" w:eastAsia="zh-CN"/>
        </w:rPr>
        <w:t>、具有医疗器械经营备案凭证或医疗器械经营许可证。</w:t>
      </w:r>
    </w:p>
    <w:p>
      <w:pPr>
        <w:pStyle w:val="16"/>
        <w:spacing w:before="0" w:beforeAutospacing="0" w:after="0" w:afterAutospacing="0" w:line="460" w:lineRule="exact"/>
        <w:ind w:firstLine="600" w:firstLineChars="200"/>
        <w:jc w:val="both"/>
        <w:rPr>
          <w:kern w:val="2"/>
          <w:sz w:val="30"/>
          <w:szCs w:val="30"/>
          <w:highlight w:val="none"/>
        </w:rPr>
      </w:pPr>
      <w:r>
        <w:rPr>
          <w:rFonts w:hint="eastAsia"/>
          <w:kern w:val="2"/>
          <w:sz w:val="30"/>
          <w:szCs w:val="30"/>
          <w:highlight w:val="none"/>
          <w:lang w:val="en-US" w:eastAsia="zh-CN"/>
        </w:rPr>
        <w:t>5</w:t>
      </w:r>
      <w:r>
        <w:rPr>
          <w:rFonts w:hint="eastAsia"/>
          <w:kern w:val="2"/>
          <w:sz w:val="30"/>
          <w:szCs w:val="30"/>
          <w:highlight w:val="none"/>
        </w:rPr>
        <w:t>、参加采购活动前三年内，在经营活动中没有重大违法记录（书面声明）。</w:t>
      </w:r>
    </w:p>
    <w:p>
      <w:pPr>
        <w:pStyle w:val="16"/>
        <w:spacing w:before="0" w:beforeAutospacing="0" w:after="0" w:afterAutospacing="0" w:line="460" w:lineRule="exact"/>
        <w:ind w:firstLine="600" w:firstLineChars="200"/>
        <w:jc w:val="both"/>
        <w:rPr>
          <w:kern w:val="2"/>
          <w:sz w:val="30"/>
          <w:szCs w:val="30"/>
          <w:highlight w:val="none"/>
        </w:rPr>
      </w:pPr>
      <w:r>
        <w:rPr>
          <w:rFonts w:hint="eastAsia"/>
          <w:kern w:val="2"/>
          <w:sz w:val="30"/>
          <w:szCs w:val="30"/>
          <w:highlight w:val="none"/>
          <w:lang w:val="en-US" w:eastAsia="zh-CN"/>
        </w:rPr>
        <w:t>6</w:t>
      </w:r>
      <w:r>
        <w:rPr>
          <w:rFonts w:hint="eastAsia"/>
          <w:kern w:val="2"/>
          <w:sz w:val="30"/>
          <w:szCs w:val="30"/>
          <w:highlight w:val="none"/>
        </w:rPr>
        <w:t>、</w:t>
      </w:r>
      <w:r>
        <w:rPr>
          <w:rFonts w:hint="eastAsia"/>
          <w:sz w:val="30"/>
          <w:szCs w:val="30"/>
          <w:highlight w:val="none"/>
        </w:rPr>
        <w:t>至少有两名工程师驻点赣州</w:t>
      </w:r>
      <w:r>
        <w:rPr>
          <w:sz w:val="30"/>
          <w:szCs w:val="30"/>
          <w:highlight w:val="none"/>
        </w:rPr>
        <w:t>市</w:t>
      </w:r>
      <w:r>
        <w:rPr>
          <w:rFonts w:hint="eastAsia"/>
          <w:sz w:val="30"/>
          <w:szCs w:val="30"/>
          <w:highlight w:val="none"/>
        </w:rPr>
        <w:t>，工程师</w:t>
      </w:r>
      <w:r>
        <w:rPr>
          <w:sz w:val="30"/>
          <w:szCs w:val="30"/>
          <w:highlight w:val="none"/>
        </w:rPr>
        <w:t>具有</w:t>
      </w:r>
      <w:r>
        <w:rPr>
          <w:rFonts w:hint="eastAsia"/>
          <w:sz w:val="30"/>
          <w:szCs w:val="30"/>
          <w:highlight w:val="none"/>
        </w:rPr>
        <w:t>厂家培训认定书</w:t>
      </w:r>
      <w:r>
        <w:rPr>
          <w:sz w:val="30"/>
          <w:szCs w:val="30"/>
          <w:highlight w:val="none"/>
        </w:rPr>
        <w:t>或</w:t>
      </w:r>
      <w:r>
        <w:rPr>
          <w:rFonts w:hint="eastAsia"/>
          <w:sz w:val="30"/>
          <w:szCs w:val="30"/>
          <w:highlight w:val="none"/>
        </w:rPr>
        <w:t>临床</w:t>
      </w:r>
      <w:r>
        <w:rPr>
          <w:sz w:val="30"/>
          <w:szCs w:val="30"/>
          <w:highlight w:val="none"/>
        </w:rPr>
        <w:t>医学工程师</w:t>
      </w:r>
      <w:r>
        <w:rPr>
          <w:rFonts w:hint="eastAsia"/>
          <w:sz w:val="30"/>
          <w:szCs w:val="30"/>
          <w:highlight w:val="none"/>
        </w:rPr>
        <w:t>毕业证书或医疗器械相关专业毕业证书。非赣州注册的公司需提供住房/店铺租赁合同。</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（六）谈判文件公告期限：</w:t>
      </w:r>
      <w:r>
        <w:rPr>
          <w:rFonts w:hint="eastAsia"/>
          <w:kern w:val="2"/>
          <w:sz w:val="30"/>
          <w:szCs w:val="30"/>
        </w:rPr>
        <w:t>自谈判公告发布之日（2020年</w:t>
      </w:r>
      <w:r>
        <w:rPr>
          <w:rFonts w:hint="eastAsia"/>
          <w:kern w:val="2"/>
          <w:sz w:val="30"/>
          <w:szCs w:val="30"/>
          <w:lang w:val="en-US" w:eastAsia="zh-CN"/>
        </w:rPr>
        <w:t>10</w:t>
      </w:r>
      <w:r>
        <w:rPr>
          <w:rFonts w:hint="eastAsia"/>
          <w:kern w:val="2"/>
          <w:sz w:val="30"/>
          <w:szCs w:val="30"/>
        </w:rPr>
        <w:t>月</w:t>
      </w:r>
      <w:r>
        <w:rPr>
          <w:rFonts w:hint="eastAsia"/>
          <w:kern w:val="2"/>
          <w:sz w:val="30"/>
          <w:szCs w:val="30"/>
          <w:lang w:val="en-US" w:eastAsia="zh-CN"/>
        </w:rPr>
        <w:t>12</w:t>
      </w:r>
      <w:r>
        <w:rPr>
          <w:rFonts w:hint="eastAsia"/>
          <w:kern w:val="2"/>
          <w:sz w:val="30"/>
          <w:szCs w:val="30"/>
        </w:rPr>
        <w:t>日）起三个工作日。</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（七）谈判文件</w:t>
      </w:r>
      <w:r>
        <w:rPr>
          <w:rFonts w:hint="eastAsia"/>
          <w:b/>
          <w:bCs/>
          <w:color w:val="auto"/>
          <w:kern w:val="2"/>
          <w:sz w:val="30"/>
          <w:szCs w:val="30"/>
        </w:rPr>
        <w:t>的</w:t>
      </w:r>
      <w:r>
        <w:rPr>
          <w:rFonts w:hint="eastAsia"/>
          <w:b/>
          <w:bCs/>
          <w:color w:val="auto"/>
          <w:kern w:val="2"/>
          <w:sz w:val="30"/>
          <w:szCs w:val="30"/>
          <w:lang w:eastAsia="zh-CN"/>
        </w:rPr>
        <w:t>取得</w:t>
      </w:r>
      <w:r>
        <w:rPr>
          <w:rFonts w:hint="eastAsia"/>
          <w:b/>
          <w:bCs/>
          <w:color w:val="auto"/>
          <w:kern w:val="2"/>
          <w:sz w:val="30"/>
          <w:szCs w:val="30"/>
        </w:rPr>
        <w:t>：</w:t>
      </w:r>
      <w:r>
        <w:rPr>
          <w:rFonts w:hint="eastAsia"/>
          <w:color w:val="auto"/>
          <w:kern w:val="2"/>
          <w:sz w:val="30"/>
          <w:szCs w:val="30"/>
        </w:rPr>
        <w:t>2020年</w:t>
      </w:r>
      <w:r>
        <w:rPr>
          <w:rFonts w:hint="eastAsia"/>
          <w:color w:val="auto"/>
          <w:kern w:val="2"/>
          <w:sz w:val="30"/>
          <w:szCs w:val="30"/>
          <w:lang w:val="en-US" w:eastAsia="zh-CN"/>
        </w:rPr>
        <w:t>10</w:t>
      </w:r>
      <w:r>
        <w:rPr>
          <w:rFonts w:hint="eastAsia"/>
          <w:color w:val="auto"/>
          <w:kern w:val="2"/>
          <w:sz w:val="30"/>
          <w:szCs w:val="30"/>
        </w:rPr>
        <w:t>月</w:t>
      </w:r>
      <w:r>
        <w:rPr>
          <w:rFonts w:hint="eastAsia"/>
          <w:color w:val="auto"/>
          <w:kern w:val="2"/>
          <w:sz w:val="30"/>
          <w:szCs w:val="30"/>
          <w:lang w:val="en-US" w:eastAsia="zh-CN"/>
        </w:rPr>
        <w:t>13</w:t>
      </w:r>
      <w:r>
        <w:rPr>
          <w:rFonts w:hint="eastAsia"/>
          <w:color w:val="auto"/>
          <w:kern w:val="2"/>
          <w:sz w:val="30"/>
          <w:szCs w:val="30"/>
        </w:rPr>
        <w:t>日至2020年</w:t>
      </w:r>
      <w:r>
        <w:rPr>
          <w:rFonts w:hint="eastAsia"/>
          <w:color w:val="auto"/>
          <w:kern w:val="2"/>
          <w:sz w:val="30"/>
          <w:szCs w:val="30"/>
          <w:lang w:val="en-US" w:eastAsia="zh-CN"/>
        </w:rPr>
        <w:t>10</w:t>
      </w:r>
      <w:r>
        <w:rPr>
          <w:rFonts w:hint="eastAsia"/>
          <w:color w:val="auto"/>
          <w:kern w:val="2"/>
          <w:sz w:val="30"/>
          <w:szCs w:val="30"/>
        </w:rPr>
        <w:t>月</w:t>
      </w:r>
      <w:r>
        <w:rPr>
          <w:rFonts w:hint="eastAsia"/>
          <w:color w:val="auto"/>
          <w:kern w:val="2"/>
          <w:sz w:val="30"/>
          <w:szCs w:val="30"/>
          <w:lang w:val="en-US" w:eastAsia="zh-CN"/>
        </w:rPr>
        <w:t>15</w:t>
      </w:r>
      <w:r>
        <w:rPr>
          <w:rFonts w:hint="eastAsia"/>
          <w:color w:val="auto"/>
          <w:kern w:val="2"/>
          <w:sz w:val="30"/>
          <w:szCs w:val="30"/>
        </w:rPr>
        <w:t>日（工作日内</w:t>
      </w:r>
      <w:r>
        <w:rPr>
          <w:rFonts w:hint="eastAsia"/>
          <w:color w:val="auto"/>
          <w:kern w:val="2"/>
          <w:sz w:val="30"/>
          <w:szCs w:val="30"/>
        </w:rPr>
        <w:t>）08∶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w:t>
      </w:r>
      <w:r>
        <w:rPr>
          <w:rFonts w:hint="eastAsia"/>
          <w:color w:val="auto"/>
          <w:kern w:val="2"/>
          <w:sz w:val="30"/>
          <w:szCs w:val="30"/>
          <w:lang w:eastAsia="zh-CN"/>
        </w:rPr>
        <w:t>报名</w:t>
      </w:r>
      <w:r>
        <w:rPr>
          <w:rFonts w:hint="eastAsia"/>
          <w:color w:val="auto"/>
          <w:kern w:val="2"/>
          <w:sz w:val="30"/>
          <w:szCs w:val="30"/>
        </w:rPr>
        <w:t>），</w:t>
      </w:r>
      <w:r>
        <w:rPr>
          <w:rFonts w:hint="eastAsia"/>
          <w:kern w:val="2"/>
          <w:sz w:val="30"/>
          <w:szCs w:val="30"/>
        </w:rPr>
        <w:t>报名时请携带营业执照复印件（加盖公章）。</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（八）响应截止时间和谈判时间：</w:t>
      </w:r>
      <w:r>
        <w:rPr>
          <w:rFonts w:hint="eastAsia"/>
          <w:kern w:val="2"/>
          <w:sz w:val="30"/>
          <w:szCs w:val="30"/>
        </w:rPr>
        <w:t>2020年</w:t>
      </w:r>
      <w:r>
        <w:rPr>
          <w:rFonts w:hint="eastAsia"/>
          <w:kern w:val="2"/>
          <w:sz w:val="30"/>
          <w:szCs w:val="30"/>
          <w:lang w:val="en-US" w:eastAsia="zh-CN"/>
        </w:rPr>
        <w:t>10</w:t>
      </w:r>
      <w:r>
        <w:rPr>
          <w:rFonts w:hint="eastAsia"/>
          <w:kern w:val="2"/>
          <w:sz w:val="30"/>
          <w:szCs w:val="30"/>
        </w:rPr>
        <w:t>月</w:t>
      </w:r>
      <w:r>
        <w:rPr>
          <w:rFonts w:hint="eastAsia"/>
          <w:kern w:val="2"/>
          <w:sz w:val="30"/>
          <w:szCs w:val="30"/>
          <w:lang w:val="en-US" w:eastAsia="zh-CN"/>
        </w:rPr>
        <w:t>20</w:t>
      </w:r>
      <w:r>
        <w:rPr>
          <w:rFonts w:hint="eastAsia"/>
          <w:kern w:val="2"/>
          <w:sz w:val="30"/>
          <w:szCs w:val="30"/>
        </w:rPr>
        <w:t>日15:00（北京时间），谈判地点：赣州市人民医院南院行政楼2楼4号会议室。逾期或不符合规定的竞谈响应文件恕不接受。签到时应主动出示身份证明原件。（温馨提示：谈判地点交通拥堵，车位紧张，请各响应供应商提前做好准备。）</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（九）响应保证金及履约保证金：</w:t>
      </w:r>
      <w:r>
        <w:rPr>
          <w:rFonts w:hint="eastAsia"/>
          <w:kern w:val="2"/>
          <w:sz w:val="30"/>
          <w:szCs w:val="30"/>
        </w:rPr>
        <w:t>响应供应商的响应保证金足额一次性缴纳人民币</w:t>
      </w:r>
      <w:r>
        <w:rPr>
          <w:rFonts w:hint="eastAsia"/>
          <w:b/>
          <w:bCs/>
          <w:color w:val="auto"/>
          <w:kern w:val="2"/>
          <w:sz w:val="30"/>
          <w:szCs w:val="30"/>
        </w:rPr>
        <w:t>伍仟元整</w:t>
      </w:r>
      <w:r>
        <w:rPr>
          <w:rFonts w:hint="eastAsia"/>
          <w:color w:val="auto"/>
          <w:kern w:val="2"/>
          <w:sz w:val="30"/>
          <w:szCs w:val="30"/>
        </w:rPr>
        <w:t>，须在开标当天上午8：00前到账，</w:t>
      </w:r>
      <w:r>
        <w:rPr>
          <w:rFonts w:hint="eastAsia"/>
          <w:color w:val="auto"/>
          <w:kern w:val="2"/>
          <w:sz w:val="30"/>
          <w:szCs w:val="30"/>
          <w:highlight w:val="yellow"/>
        </w:rPr>
        <w:t>投标人未按照竞争性谈判文件要求提交投标保证金的，投标无效。</w:t>
      </w:r>
      <w:r>
        <w:rPr>
          <w:rFonts w:hint="eastAsia"/>
          <w:color w:val="auto"/>
          <w:kern w:val="2"/>
          <w:sz w:val="30"/>
          <w:szCs w:val="30"/>
        </w:rPr>
        <w:t>从响应供应商（不得以分支机构等其他名义转入）的基本账户转入医院的指定帐户（单位名称:赣州市人民医院；账号:1510220109026473030；开户银行:工商</w:t>
      </w:r>
      <w:r>
        <w:rPr>
          <w:rFonts w:hint="eastAsia"/>
          <w:kern w:val="2"/>
          <w:sz w:val="30"/>
          <w:szCs w:val="30"/>
        </w:rPr>
        <w:t>银行赣州市虔城支行）（自然人参加的，从自然人的本人同名账户转入），否则响应无效。各响应供应商在银行转账（电汇）时，须充分考虑银行转账（电汇）的时间差风险，如同城转账、异地转账或汇款、跨行转账或电汇的时间要求。未成交供应商的响应保证金,在《成交通知书》发出之日起五个工作日内按来款渠道直接无息退还。</w:t>
      </w:r>
      <w:r>
        <w:rPr>
          <w:rFonts w:hint="eastAsia"/>
          <w:kern w:val="2"/>
          <w:sz w:val="30"/>
          <w:szCs w:val="30"/>
          <w:highlight w:val="yellow"/>
        </w:rPr>
        <w:t>成交供应商的响应保证金转为履约保证金，合同到期结束后一次性无息退还。</w:t>
      </w:r>
    </w:p>
    <w:p>
      <w:pPr>
        <w:pStyle w:val="16"/>
        <w:spacing w:before="0" w:beforeAutospacing="0" w:after="0" w:afterAutospacing="0" w:line="460" w:lineRule="exact"/>
        <w:ind w:firstLine="602" w:firstLineChars="200"/>
        <w:jc w:val="both"/>
        <w:rPr>
          <w:b/>
          <w:bCs/>
          <w:color w:val="auto"/>
          <w:kern w:val="2"/>
          <w:sz w:val="30"/>
          <w:szCs w:val="30"/>
          <w:highlight w:val="none"/>
        </w:rPr>
      </w:pPr>
      <w:r>
        <w:rPr>
          <w:rFonts w:hint="eastAsia"/>
          <w:b/>
          <w:bCs/>
          <w:kern w:val="2"/>
          <w:sz w:val="30"/>
          <w:szCs w:val="30"/>
        </w:rPr>
        <w:t>（十）付款方法：</w:t>
      </w:r>
      <w:r>
        <w:rPr>
          <w:rFonts w:hint="eastAsia"/>
          <w:b/>
          <w:bCs/>
          <w:color w:val="auto"/>
          <w:kern w:val="2"/>
          <w:sz w:val="30"/>
          <w:szCs w:val="30"/>
          <w:highlight w:val="none"/>
        </w:rPr>
        <w:t>按批次供货，</w:t>
      </w:r>
      <w:r>
        <w:rPr>
          <w:rFonts w:hint="eastAsia"/>
          <w:b/>
          <w:bCs/>
          <w:color w:val="auto"/>
          <w:sz w:val="30"/>
          <w:szCs w:val="30"/>
          <w:highlight w:val="none"/>
        </w:rPr>
        <w:t>每次供货验收合格一个月后付该批次货款的100%</w:t>
      </w:r>
      <w:r>
        <w:rPr>
          <w:rFonts w:hint="eastAsia"/>
          <w:b/>
          <w:bCs/>
          <w:color w:val="auto"/>
          <w:kern w:val="2"/>
          <w:sz w:val="30"/>
          <w:szCs w:val="30"/>
          <w:highlight w:val="none"/>
        </w:rPr>
        <w:t>，供应商应提供相应金额的合法税票。</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（十一）已购买谈判文件的供应商，在提交竞谈响应文件的截止时间</w:t>
      </w:r>
      <w:r>
        <w:rPr>
          <w:rFonts w:hint="eastAsia"/>
          <w:b/>
          <w:bCs/>
          <w:kern w:val="2"/>
          <w:sz w:val="30"/>
          <w:szCs w:val="30"/>
          <w:highlight w:val="yellow"/>
        </w:rPr>
        <w:t>一日前，未书面通知</w:t>
      </w:r>
      <w:r>
        <w:rPr>
          <w:rFonts w:hint="eastAsia"/>
          <w:b/>
          <w:bCs/>
          <w:kern w:val="2"/>
          <w:sz w:val="30"/>
          <w:szCs w:val="30"/>
        </w:rPr>
        <w:t>而放弃响应的，不得再参加该项目的采购活动。</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（十二）联系方法：</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地址：赣州市章贡区梅关大道16号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电话：0797-5889317</w:t>
      </w:r>
    </w:p>
    <w:p>
      <w:pPr>
        <w:pStyle w:val="2"/>
        <w:spacing w:before="240" w:after="240"/>
        <w:jc w:val="center"/>
        <w:rPr>
          <w:b/>
          <w:sz w:val="32"/>
        </w:rPr>
      </w:pPr>
      <w:bookmarkStart w:id="1" w:name="_Toc533775665"/>
      <w:r>
        <w:rPr>
          <w:rFonts w:hint="eastAsia"/>
          <w:b/>
          <w:sz w:val="32"/>
        </w:rPr>
        <w:t xml:space="preserve">第二章  </w:t>
      </w:r>
      <w:bookmarkEnd w:id="1"/>
      <w:bookmarkStart w:id="2" w:name="_Toc533775667"/>
      <w:r>
        <w:rPr>
          <w:rFonts w:hint="eastAsia"/>
          <w:b/>
          <w:sz w:val="32"/>
        </w:rPr>
        <w:t>谈判文件</w:t>
      </w:r>
      <w:bookmarkEnd w:id="2"/>
    </w:p>
    <w:p>
      <w:pPr>
        <w:pStyle w:val="2"/>
        <w:spacing w:before="240" w:after="240"/>
        <w:jc w:val="center"/>
        <w:rPr>
          <w:b/>
          <w:sz w:val="32"/>
          <w:szCs w:val="22"/>
        </w:rPr>
      </w:pPr>
      <w:bookmarkStart w:id="3" w:name="_Toc505076492"/>
      <w:bookmarkStart w:id="4" w:name="_Toc505076493"/>
      <w:bookmarkStart w:id="5" w:name="_Toc501101639"/>
      <w:bookmarkStart w:id="6" w:name="_Toc495487710"/>
      <w:bookmarkStart w:id="7" w:name="_Toc499477410"/>
      <w:r>
        <w:rPr>
          <w:rFonts w:hint="eastAsia" w:hAnsi="宋体"/>
          <w:szCs w:val="28"/>
        </w:rPr>
        <w:t>一、</w:t>
      </w:r>
      <w:bookmarkEnd w:id="3"/>
      <w:r>
        <w:rPr>
          <w:rFonts w:hint="eastAsia"/>
          <w:b/>
          <w:sz w:val="32"/>
          <w:szCs w:val="22"/>
        </w:rPr>
        <w:t>采购项目需求</w:t>
      </w:r>
      <w:bookmarkEnd w:id="4"/>
    </w:p>
    <w:p>
      <w:pPr>
        <w:pStyle w:val="16"/>
        <w:spacing w:before="0" w:beforeAutospacing="0" w:after="0" w:afterAutospacing="0" w:line="460" w:lineRule="exact"/>
        <w:ind w:firstLine="600" w:firstLineChars="200"/>
        <w:jc w:val="both"/>
        <w:rPr>
          <w:kern w:val="2"/>
          <w:sz w:val="30"/>
          <w:szCs w:val="30"/>
        </w:rPr>
      </w:pPr>
      <w:bookmarkStart w:id="8" w:name="_Toc413574279"/>
      <w:r>
        <w:rPr>
          <w:rFonts w:hint="eastAsia"/>
          <w:kern w:val="2"/>
          <w:sz w:val="30"/>
          <w:szCs w:val="30"/>
        </w:rPr>
        <w:t>1、投标供应商须提供全新，并符合质量标准的货物。</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pPr>
        <w:pStyle w:val="16"/>
        <w:spacing w:before="0" w:beforeAutospacing="0" w:after="0" w:afterAutospacing="0" w:line="460" w:lineRule="exact"/>
        <w:ind w:firstLine="600" w:firstLineChars="200"/>
        <w:jc w:val="both"/>
        <w:rPr>
          <w:rFonts w:hint="eastAsia"/>
          <w:color w:val="auto"/>
          <w:kern w:val="2"/>
          <w:sz w:val="30"/>
          <w:szCs w:val="30"/>
        </w:rPr>
      </w:pPr>
      <w:r>
        <w:rPr>
          <w:rFonts w:hint="eastAsia"/>
          <w:kern w:val="2"/>
          <w:sz w:val="30"/>
          <w:szCs w:val="30"/>
        </w:rPr>
        <w:t>5、交货期</w:t>
      </w:r>
      <w:bookmarkStart w:id="38" w:name="_GoBack"/>
      <w:r>
        <w:rPr>
          <w:rFonts w:hint="eastAsia"/>
          <w:color w:val="auto"/>
          <w:kern w:val="2"/>
          <w:sz w:val="30"/>
          <w:szCs w:val="30"/>
        </w:rPr>
        <w:t>：供应商应在《中标通知书》规定的时间内和采购人签订正式合同，供应商接到我院电话或调货信息时，需2小时内响应，48小时内将货物送至指定地点。</w:t>
      </w:r>
    </w:p>
    <w:bookmarkEnd w:id="38"/>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6、交货地点：采购人指定地点。</w:t>
      </w:r>
    </w:p>
    <w:bookmarkEnd w:id="8"/>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7、产品参数要求:</w:t>
      </w:r>
      <w:r>
        <w:rPr>
          <w:rFonts w:hint="eastAsia"/>
          <w:sz w:val="30"/>
          <w:szCs w:val="30"/>
        </w:rPr>
        <w:t>详“见采购内容（三）”中“</w:t>
      </w:r>
      <w:r>
        <w:rPr>
          <w:rFonts w:hint="eastAsia"/>
          <w:b/>
          <w:bCs/>
          <w:sz w:val="27"/>
          <w:szCs w:val="27"/>
        </w:rPr>
        <w:t>主要技术规格及要求</w:t>
      </w:r>
      <w:r>
        <w:rPr>
          <w:rFonts w:hint="eastAsia"/>
          <w:sz w:val="30"/>
          <w:szCs w:val="30"/>
        </w:rPr>
        <w:t>”</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8、售后要求：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w:t>
      </w:r>
      <w:r>
        <w:rPr>
          <w:kern w:val="2"/>
          <w:sz w:val="30"/>
          <w:szCs w:val="30"/>
        </w:rPr>
        <w:t>1</w:t>
      </w:r>
      <w:r>
        <w:rPr>
          <w:rFonts w:hint="eastAsia"/>
          <w:kern w:val="2"/>
          <w:sz w:val="30"/>
          <w:szCs w:val="30"/>
        </w:rPr>
        <w:t>响应供应商须提供完善的售后服务</w:t>
      </w:r>
      <w:r>
        <w:rPr>
          <w:rFonts w:hint="eastAsia"/>
          <w:color w:val="auto"/>
          <w:kern w:val="2"/>
          <w:sz w:val="30"/>
          <w:szCs w:val="30"/>
        </w:rPr>
        <w:t>，供应商需在采购人提出备件/服务需求后48小时内到达采购人指定地点，如果更</w:t>
      </w:r>
      <w:r>
        <w:rPr>
          <w:rFonts w:hint="eastAsia"/>
          <w:kern w:val="2"/>
          <w:sz w:val="30"/>
          <w:szCs w:val="30"/>
        </w:rPr>
        <w:t>换备件发生故障，响应供应商须在接到采购人通知后</w:t>
      </w:r>
      <w:r>
        <w:rPr>
          <w:b/>
          <w:bCs/>
          <w:color w:val="auto"/>
          <w:kern w:val="2"/>
          <w:sz w:val="30"/>
          <w:szCs w:val="30"/>
        </w:rPr>
        <w:t>24</w:t>
      </w:r>
      <w:r>
        <w:rPr>
          <w:rFonts w:hint="eastAsia"/>
          <w:kern w:val="2"/>
          <w:sz w:val="30"/>
          <w:szCs w:val="30"/>
        </w:rPr>
        <w:t>小时内指派专业技术人员到达采购人指定地点提供维修或换货服务。</w:t>
      </w:r>
    </w:p>
    <w:p>
      <w:pPr>
        <w:pStyle w:val="16"/>
        <w:numPr>
          <w:ilvl w:val="0"/>
          <w:numId w:val="2"/>
        </w:numPr>
        <w:spacing w:before="0" w:beforeAutospacing="0" w:after="0" w:afterAutospacing="0" w:line="460" w:lineRule="exact"/>
        <w:ind w:firstLine="600" w:firstLineChars="200"/>
        <w:jc w:val="both"/>
        <w:rPr>
          <w:kern w:val="2"/>
          <w:sz w:val="30"/>
          <w:szCs w:val="30"/>
        </w:rPr>
      </w:pPr>
      <w:r>
        <w:rPr>
          <w:rFonts w:hint="eastAsia"/>
          <w:kern w:val="2"/>
          <w:sz w:val="30"/>
          <w:szCs w:val="30"/>
        </w:rPr>
        <w:t>违约赔偿：</w:t>
      </w:r>
    </w:p>
    <w:p>
      <w:pPr>
        <w:widowControl/>
        <w:spacing w:line="440" w:lineRule="exact"/>
        <w:ind w:firstLine="600" w:firstLineChars="200"/>
        <w:jc w:val="left"/>
        <w:rPr>
          <w:rFonts w:ascii="宋体" w:hAnsi="宋体" w:cs="仿宋_GB2312"/>
          <w:color w:val="auto"/>
          <w:sz w:val="30"/>
          <w:szCs w:val="30"/>
        </w:rPr>
      </w:pPr>
      <w:r>
        <w:rPr>
          <w:rFonts w:hint="eastAsia" w:ascii="宋体" w:hAnsi="宋体" w:cs="仿宋_GB2312"/>
          <w:color w:val="auto"/>
          <w:sz w:val="30"/>
          <w:szCs w:val="30"/>
        </w:rPr>
        <w:t>9.1如果供应商没有按照合同规定的时间供货或提供服务，采购人可从货款中扣除违约赔偿费，赔偿费应按每迟交一天，按合同总价的2</w:t>
      </w:r>
      <w:r>
        <w:rPr>
          <w:rFonts w:ascii="宋体" w:hAnsi="宋体" w:cs="Arial"/>
          <w:color w:val="auto"/>
          <w:sz w:val="30"/>
          <w:szCs w:val="30"/>
        </w:rPr>
        <w:t>‰</w:t>
      </w:r>
      <w:r>
        <w:rPr>
          <w:rFonts w:hint="eastAsia" w:ascii="宋体" w:hAnsi="宋体" w:cs="仿宋_GB2312"/>
          <w:color w:val="auto"/>
          <w:sz w:val="30"/>
          <w:szCs w:val="30"/>
        </w:rPr>
        <w:t>计收，不足1天超过12小时按一天计算。但违约赔偿费的最高限额为合同总价的10%。如果供应商在达到最高限额后仍不能提供服务，采购人可以单方面终止合同，</w:t>
      </w:r>
      <w:r>
        <w:rPr>
          <w:rFonts w:hint="eastAsia" w:ascii="宋体" w:hAnsi="宋体" w:cs="仿宋"/>
          <w:color w:val="auto"/>
          <w:sz w:val="30"/>
          <w:szCs w:val="30"/>
        </w:rPr>
        <w:t>没收履约保证金，并要求</w:t>
      </w:r>
      <w:r>
        <w:rPr>
          <w:rFonts w:hint="eastAsia" w:ascii="宋体" w:hAnsi="宋体" w:cs="仿宋_GB2312"/>
          <w:color w:val="auto"/>
          <w:sz w:val="30"/>
          <w:szCs w:val="30"/>
        </w:rPr>
        <w:t>供应商</w:t>
      </w:r>
      <w:r>
        <w:rPr>
          <w:rFonts w:hint="eastAsia" w:ascii="宋体" w:hAnsi="宋体" w:cs="仿宋"/>
          <w:color w:val="auto"/>
          <w:sz w:val="30"/>
          <w:szCs w:val="30"/>
        </w:rPr>
        <w:t>赔偿</w:t>
      </w:r>
      <w:r>
        <w:rPr>
          <w:rFonts w:hint="eastAsia" w:ascii="宋体" w:hAnsi="宋体" w:cs="仿宋_GB2312"/>
          <w:color w:val="auto"/>
          <w:sz w:val="30"/>
          <w:szCs w:val="30"/>
        </w:rPr>
        <w:t>采购人</w:t>
      </w:r>
      <w:r>
        <w:rPr>
          <w:rFonts w:hint="eastAsia" w:ascii="宋体" w:hAnsi="宋体" w:cs="仿宋"/>
          <w:color w:val="auto"/>
          <w:sz w:val="30"/>
          <w:szCs w:val="30"/>
        </w:rPr>
        <w:t>损失</w:t>
      </w:r>
      <w:r>
        <w:rPr>
          <w:rFonts w:hint="eastAsia" w:ascii="宋体" w:hAnsi="宋体" w:cs="仿宋_GB2312"/>
          <w:color w:val="auto"/>
          <w:sz w:val="30"/>
          <w:szCs w:val="30"/>
        </w:rPr>
        <w:t>。</w:t>
      </w:r>
    </w:p>
    <w:p>
      <w:pPr>
        <w:pStyle w:val="16"/>
        <w:spacing w:before="0" w:beforeAutospacing="0" w:after="0" w:afterAutospacing="0" w:line="460" w:lineRule="exact"/>
        <w:ind w:firstLine="600" w:firstLineChars="200"/>
        <w:jc w:val="both"/>
        <w:rPr>
          <w:color w:val="FF0000"/>
          <w:kern w:val="2"/>
          <w:sz w:val="30"/>
          <w:szCs w:val="30"/>
        </w:rPr>
      </w:pPr>
      <w:r>
        <w:rPr>
          <w:rFonts w:hint="eastAsia"/>
          <w:color w:val="auto"/>
          <w:kern w:val="2"/>
          <w:sz w:val="30"/>
          <w:szCs w:val="30"/>
        </w:rPr>
        <w:t>9.2如果备件/设备发生故障，投标供应商须在响应文件中承诺的时间内到达采购人处提供服务，“实际达到时间”每超过“承诺应到时间”24小时，扣除履约保证金5%，以此类推。</w:t>
      </w:r>
    </w:p>
    <w:p>
      <w:pPr>
        <w:pStyle w:val="16"/>
        <w:spacing w:before="0" w:beforeAutospacing="0" w:after="0" w:afterAutospacing="0" w:line="460" w:lineRule="exact"/>
        <w:ind w:firstLine="600" w:firstLineChars="200"/>
        <w:jc w:val="both"/>
        <w:rPr>
          <w:b/>
          <w:bCs/>
          <w:color w:val="auto"/>
          <w:kern w:val="2"/>
          <w:sz w:val="30"/>
          <w:szCs w:val="30"/>
          <w:highlight w:val="none"/>
        </w:rPr>
      </w:pPr>
      <w:r>
        <w:rPr>
          <w:rFonts w:hint="eastAsia"/>
          <w:kern w:val="2"/>
          <w:sz w:val="30"/>
          <w:szCs w:val="30"/>
        </w:rPr>
        <w:t>10.其他要求</w:t>
      </w:r>
      <w:r>
        <w:rPr>
          <w:rFonts w:hint="eastAsia"/>
          <w:b w:val="0"/>
          <w:bCs w:val="0"/>
          <w:color w:val="auto"/>
          <w:kern w:val="2"/>
          <w:sz w:val="30"/>
          <w:szCs w:val="30"/>
        </w:rPr>
        <w:t>：</w:t>
      </w:r>
      <w:r>
        <w:rPr>
          <w:rFonts w:hint="eastAsia"/>
          <w:b/>
          <w:bCs/>
          <w:color w:val="auto"/>
          <w:kern w:val="2"/>
          <w:sz w:val="30"/>
          <w:szCs w:val="30"/>
          <w:highlight w:val="none"/>
        </w:rPr>
        <w:t>如果中标人超过3次未能按时提供备件或服务，或1次超过15天未能按时提供备件或服务，采购人有权利终止合同，并没收履约保证金，顺延与下一个中标候选人签订供货协议。</w:t>
      </w:r>
    </w:p>
    <w:p>
      <w:pPr>
        <w:pStyle w:val="16"/>
        <w:spacing w:before="0" w:beforeAutospacing="0" w:after="0" w:afterAutospacing="0" w:line="460" w:lineRule="exact"/>
        <w:ind w:firstLine="600" w:firstLineChars="200"/>
        <w:jc w:val="both"/>
        <w:rPr>
          <w:kern w:val="2"/>
          <w:sz w:val="30"/>
          <w:szCs w:val="30"/>
          <w:highlight w:val="none"/>
        </w:rPr>
      </w:pPr>
    </w:p>
    <w:p>
      <w:pPr>
        <w:spacing w:line="360" w:lineRule="exact"/>
        <w:rPr>
          <w:rFonts w:asciiTheme="minorEastAsia" w:hAnsiTheme="minorEastAsia" w:eastAsiaTheme="minorEastAsia"/>
          <w:color w:val="FF0000"/>
          <w:sz w:val="24"/>
          <w:szCs w:val="24"/>
        </w:rPr>
      </w:pPr>
    </w:p>
    <w:bookmarkEnd w:id="5"/>
    <w:bookmarkEnd w:id="6"/>
    <w:bookmarkEnd w:id="7"/>
    <w:p>
      <w:pPr>
        <w:pStyle w:val="2"/>
        <w:spacing w:before="240" w:after="240"/>
        <w:jc w:val="center"/>
        <w:rPr>
          <w:b/>
          <w:sz w:val="32"/>
        </w:rPr>
      </w:pPr>
      <w:bookmarkStart w:id="9" w:name="_Toc533775668"/>
      <w:r>
        <w:rPr>
          <w:rFonts w:hint="eastAsia"/>
          <w:b/>
          <w:sz w:val="32"/>
        </w:rPr>
        <w:t>二、响应文件的编制</w:t>
      </w:r>
      <w:bookmarkEnd w:id="9"/>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1.1具有独立承担民事责任的能力的资格证明文件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1.2具有履行合同所必须的设备和专业技术能力的证明文件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 有依法缴纳税收和社会保障资金的良好记录的证明文件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1.4参加采购前三年内,在经营活动中没有重大违法记录的证明文件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1.5法定代表人授权书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1.6供应商的资格声明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1.7谈判保证金凭证</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1.8 其他资格证明文件</w:t>
      </w:r>
    </w:p>
    <w:p>
      <w:pPr>
        <w:pStyle w:val="16"/>
        <w:spacing w:before="0" w:beforeAutospacing="0" w:after="0" w:afterAutospacing="0" w:line="460" w:lineRule="exact"/>
        <w:ind w:firstLine="600" w:firstLineChars="200"/>
        <w:jc w:val="both"/>
        <w:rPr>
          <w:kern w:val="2"/>
          <w:sz w:val="30"/>
          <w:szCs w:val="30"/>
        </w:rPr>
      </w:pP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2. 响应文件计量单位</w:t>
      </w:r>
      <w:r>
        <w:rPr>
          <w:rFonts w:hint="eastAsia"/>
          <w:kern w:val="2"/>
          <w:sz w:val="30"/>
          <w:szCs w:val="30"/>
        </w:rPr>
        <w:tab/>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响应文件中所使用的计量单位, 除谈判文件中有特殊要求外，均应采用国家法定计量单位。</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3.响应文件的构成（格式详见附件）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3.1响应文件应由下列部分构成</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谈判响应书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分项报价表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商务条款响应/偏离表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 其他证明资料</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 技术文件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 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4. 谈判报价</w:t>
      </w:r>
    </w:p>
    <w:p>
      <w:pPr>
        <w:pStyle w:val="16"/>
        <w:spacing w:before="0" w:beforeAutospacing="0" w:after="0" w:afterAutospacing="0" w:line="460" w:lineRule="exact"/>
        <w:jc w:val="both"/>
        <w:rPr>
          <w:kern w:val="2"/>
          <w:sz w:val="30"/>
          <w:szCs w:val="30"/>
          <w:highlight w:val="yellow"/>
        </w:rPr>
      </w:pPr>
      <w:r>
        <w:rPr>
          <w:rFonts w:hint="eastAsia"/>
          <w:kern w:val="2"/>
          <w:sz w:val="30"/>
          <w:szCs w:val="30"/>
        </w:rPr>
        <w:t xml:space="preserve">    4.1</w:t>
      </w:r>
      <w:r>
        <w:rPr>
          <w:rFonts w:hint="eastAsia"/>
          <w:b/>
          <w:bCs/>
          <w:color w:val="auto"/>
          <w:sz w:val="30"/>
          <w:szCs w:val="30"/>
          <w:highlight w:val="yellow"/>
        </w:rPr>
        <w:t>本项目以单价整体折扣率报价</w:t>
      </w:r>
      <w:r>
        <w:rPr>
          <w:rFonts w:hint="eastAsia"/>
          <w:b/>
          <w:bCs/>
          <w:kern w:val="2"/>
          <w:sz w:val="30"/>
          <w:szCs w:val="30"/>
          <w:highlight w:val="yellow"/>
        </w:rPr>
        <w:t>，不对单个项目进行不同折扣的报价（如打八折，则折扣率为80%）。</w:t>
      </w:r>
      <w:r>
        <w:rPr>
          <w:rFonts w:hint="eastAsia"/>
          <w:kern w:val="2"/>
          <w:sz w:val="30"/>
          <w:szCs w:val="30"/>
        </w:rPr>
        <w:t>报价内容包含谈判文件规定的货物，标准附件，备品备件，专用工具，安装、调试、检验，培训，技术服务，运至最终目的地的运费和保险费等相关费用。</w:t>
      </w:r>
      <w:r>
        <w:rPr>
          <w:rFonts w:hint="eastAsia"/>
          <w:kern w:val="2"/>
          <w:sz w:val="30"/>
          <w:szCs w:val="30"/>
          <w:highlight w:val="yellow"/>
        </w:rPr>
        <w:t>（只能在采购预算范围内报价，报价唯一，不得提交选择性报价。）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4.2供应商要按报价表（统一格式）和分项报价表（统一格式）的内容填写产品</w:t>
      </w:r>
      <w:r>
        <w:rPr>
          <w:rFonts w:hint="eastAsia"/>
          <w:b/>
          <w:bCs/>
          <w:color w:val="auto"/>
          <w:sz w:val="30"/>
          <w:szCs w:val="30"/>
        </w:rPr>
        <w:t>单价整体折扣率</w:t>
      </w:r>
      <w:r>
        <w:rPr>
          <w:rFonts w:hint="eastAsia"/>
          <w:kern w:val="2"/>
          <w:sz w:val="30"/>
          <w:szCs w:val="30"/>
        </w:rPr>
        <w:t>及其他事项。</w:t>
      </w:r>
    </w:p>
    <w:p>
      <w:pPr>
        <w:pStyle w:val="16"/>
        <w:spacing w:before="0" w:beforeAutospacing="0" w:after="0" w:afterAutospacing="0" w:line="460" w:lineRule="exact"/>
        <w:ind w:firstLine="602" w:firstLineChars="200"/>
        <w:jc w:val="both"/>
        <w:rPr>
          <w:color w:val="auto"/>
          <w:kern w:val="2"/>
          <w:sz w:val="30"/>
          <w:szCs w:val="30"/>
        </w:rPr>
      </w:pPr>
      <w:r>
        <w:rPr>
          <w:rFonts w:hint="eastAsia"/>
          <w:b/>
          <w:bCs/>
          <w:kern w:val="2"/>
          <w:sz w:val="30"/>
          <w:szCs w:val="30"/>
        </w:rPr>
        <w:t>4.3</w:t>
      </w:r>
      <w:r>
        <w:rPr>
          <w:rFonts w:hint="eastAsia"/>
          <w:color w:val="auto"/>
          <w:kern w:val="2"/>
          <w:sz w:val="30"/>
          <w:szCs w:val="30"/>
        </w:rPr>
        <w:t>本项目采购预算价</w:t>
      </w:r>
      <w:r>
        <w:rPr>
          <w:rFonts w:hint="eastAsia"/>
          <w:color w:val="auto"/>
          <w:kern w:val="2"/>
          <w:sz w:val="30"/>
          <w:szCs w:val="30"/>
          <w:highlight w:val="none"/>
        </w:rPr>
        <w:t>为</w:t>
      </w:r>
      <w:r>
        <w:rPr>
          <w:color w:val="auto"/>
          <w:kern w:val="2"/>
          <w:sz w:val="30"/>
          <w:szCs w:val="30"/>
          <w:highlight w:val="none"/>
        </w:rPr>
        <w:t>2</w:t>
      </w:r>
      <w:r>
        <w:rPr>
          <w:rFonts w:hint="eastAsia"/>
          <w:color w:val="auto"/>
          <w:kern w:val="2"/>
          <w:sz w:val="30"/>
          <w:szCs w:val="30"/>
          <w:highlight w:val="none"/>
        </w:rPr>
        <w:t>58816元。响应</w:t>
      </w:r>
      <w:r>
        <w:rPr>
          <w:rFonts w:hint="eastAsia"/>
          <w:color w:val="auto"/>
          <w:kern w:val="2"/>
          <w:sz w:val="30"/>
          <w:szCs w:val="30"/>
        </w:rPr>
        <w:t>文件中的响应报价（即首次报价）超出采购项目预算价的响应无效，做无效标处理；开标现场报价时所提交的报价超出采购项目预算价或超出响应文件中的响应报价（即首次报价）的响应无效，做无效标处理。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5. 谈判保证金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5.1</w:t>
      </w:r>
      <w:r>
        <w:rPr>
          <w:rFonts w:hint="eastAsia"/>
          <w:kern w:val="2"/>
          <w:sz w:val="30"/>
          <w:szCs w:val="30"/>
          <w:highlight w:val="yellow"/>
        </w:rPr>
        <w:t>供应商向采购人提交规定的谈判保证金须在开标当天上午8：00前到账，</w:t>
      </w:r>
      <w:r>
        <w:rPr>
          <w:rFonts w:hint="eastAsia"/>
          <w:kern w:val="2"/>
          <w:sz w:val="30"/>
          <w:szCs w:val="30"/>
        </w:rPr>
        <w:t>并作为其响应文件的一部分。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5.2 任何未按要求提交谈判保证金的响应文件被视为无效。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5.3 未成交供应商的谈判保证金，在成交通知书发出后5个工作日内退还。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5.4有下列情形之一的，保证金不予退还：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供应商在提交响应文件截止时间后撤回响应文件的；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供应商在响应文件中提供虚假材料的；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除因不可抗力或谈判文件认可的情形以外，成交供应商不与采购人签订合同的；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供应商恶意串通的；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成交供应商未按规定提交履约保证金（如有）；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 采购文件规定的其他情形。</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6. 响应文件的签署及规定</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pPr>
        <w:pStyle w:val="16"/>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响应文件正、副本均须胶装，否则被视为无效响应文件。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6.3 响应文件不得涂改和增删，如有修改，必须由响应文件签字人签字或盖章。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6.4 响应文件因字迹潦草或表达不清所引起的后果由供应商负责。</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pPr>
        <w:pStyle w:val="16"/>
        <w:spacing w:before="0" w:beforeAutospacing="0" w:after="0" w:afterAutospacing="0" w:line="460" w:lineRule="exact"/>
        <w:ind w:firstLine="600" w:firstLineChars="200"/>
        <w:jc w:val="both"/>
        <w:rPr>
          <w:kern w:val="2"/>
          <w:sz w:val="30"/>
          <w:szCs w:val="30"/>
        </w:rPr>
      </w:pPr>
    </w:p>
    <w:p>
      <w:pPr>
        <w:pStyle w:val="2"/>
        <w:spacing w:before="240" w:after="240"/>
        <w:jc w:val="center"/>
        <w:rPr>
          <w:b/>
          <w:sz w:val="32"/>
        </w:rPr>
      </w:pPr>
      <w:bookmarkStart w:id="10" w:name="_Toc533775669"/>
    </w:p>
    <w:p>
      <w:pPr>
        <w:pStyle w:val="2"/>
        <w:spacing w:before="240" w:after="240"/>
        <w:jc w:val="center"/>
        <w:rPr>
          <w:b/>
          <w:sz w:val="32"/>
        </w:rPr>
      </w:pPr>
      <w:r>
        <w:rPr>
          <w:rFonts w:hint="eastAsia"/>
          <w:b/>
          <w:sz w:val="32"/>
        </w:rPr>
        <w:t>三、</w:t>
      </w:r>
      <w:bookmarkEnd w:id="10"/>
      <w:bookmarkStart w:id="11" w:name="_Toc533775670"/>
      <w:r>
        <w:rPr>
          <w:rFonts w:hint="eastAsia"/>
          <w:b/>
          <w:sz w:val="32"/>
        </w:rPr>
        <w:t>谈判</w:t>
      </w:r>
      <w:bookmarkEnd w:id="11"/>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 谈判程序</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2）未提交报价表；</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响应文件格式8”的规定提供</w:t>
      </w:r>
      <w:r>
        <w:rPr>
          <w:rFonts w:hint="eastAsia"/>
          <w:kern w:val="2"/>
          <w:sz w:val="30"/>
          <w:szCs w:val="30"/>
          <w:lang w:val="en-GB"/>
        </w:rPr>
        <w:t>资格、资信证明文件的；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5）未按谈判文件要求签字、签章的，或签字（签章）人无法定代表人有效委托的；</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6）谈判文件规定为国产产品，提供进口产品参加谈判的。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8）首次报价超过了采购项目预算或最高限价的；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9）谈判文件规定的其他响应无效条款。</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1.3谈判 </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按照</w:t>
      </w:r>
      <w:r>
        <w:rPr>
          <w:rFonts w:hint="eastAsia"/>
          <w:color w:val="FF0000"/>
          <w:kern w:val="2"/>
          <w:sz w:val="30"/>
          <w:szCs w:val="30"/>
          <w:lang w:val="en-GB"/>
        </w:rPr>
        <w:t>抽签顺序</w:t>
      </w:r>
      <w:r>
        <w:rPr>
          <w:rFonts w:hint="eastAsia"/>
          <w:kern w:val="2"/>
          <w:sz w:val="30"/>
          <w:szCs w:val="30"/>
          <w:lang w:val="en-GB"/>
        </w:rPr>
        <w:t>，谈判小组所有成员集中与单一供应商分别就符合采购需求、质量和服务等进行谈判，并了解其报价组成情况。谈判中，谈判的任何一方不得透露与谈判有关的其他供应商的技术资料、价格和其他信息。</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1.4谈判文件修正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谈判小组就修正后的响应文件与响应供应商分别进行谈判。采购人对谈判过程和谈判内容作记录，谈判小组召集人和响应供应商在记录上签字确认。谈判小组可以根据情况进行三轮谈判。第三轮谈判为最终的谈判。</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2.错误修正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2.1二次报价（最终报价）的大写金额和小写金额不一致的，以大写金额为准；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2.2单价金额小数点有明显错位的，应以总价为准，并修改单价；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2.3总价金额与按单价汇总金额不一致的，以单价金额计算结果为准。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3.最后报价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（2）最后报价是供应商响应文件的有效组成部分。</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（3）最后报价如未作分项报价的，其分项报价则按总报价的降价比例计算。</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（5）未在规定时间内提交最后报价或最后报价不符合谈判文件要求的；视为无效响应。</w:t>
      </w:r>
    </w:p>
    <w:p>
      <w:pPr>
        <w:pStyle w:val="16"/>
        <w:spacing w:before="0" w:beforeAutospacing="0" w:after="0" w:afterAutospacing="0" w:line="460" w:lineRule="exact"/>
        <w:ind w:firstLine="602" w:firstLineChars="200"/>
        <w:jc w:val="both"/>
        <w:rPr>
          <w:b/>
          <w:bCs/>
          <w:kern w:val="2"/>
          <w:sz w:val="30"/>
          <w:szCs w:val="30"/>
        </w:rPr>
      </w:pPr>
      <w:bookmarkStart w:id="12" w:name="_Toc376848253"/>
      <w:r>
        <w:rPr>
          <w:rFonts w:hint="eastAsia"/>
          <w:b/>
          <w:bCs/>
          <w:kern w:val="2"/>
          <w:sz w:val="30"/>
          <w:szCs w:val="30"/>
        </w:rPr>
        <w:t>4.终止谈判采购活动的情形</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出现下列情形之一的，终止谈判采购活动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（1）因情况变化，不再符合规定的谈判采购方式适用情形的；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（2）出现影响采购公正的违法、违规行为的。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（3）在采购过程中符合竞争要求的供应商或者报价未超过采购预算的供应商不足3家的。</w:t>
      </w:r>
      <w:bookmarkStart w:id="13" w:name="_Toc377297026"/>
    </w:p>
    <w:bookmarkEnd w:id="13"/>
    <w:p>
      <w:pPr>
        <w:pStyle w:val="16"/>
        <w:spacing w:before="0" w:beforeAutospacing="0" w:after="0" w:afterAutospacing="0" w:line="460" w:lineRule="exact"/>
        <w:ind w:firstLine="602" w:firstLineChars="200"/>
        <w:jc w:val="both"/>
        <w:rPr>
          <w:color w:val="auto"/>
          <w:kern w:val="2"/>
          <w:sz w:val="30"/>
          <w:szCs w:val="30"/>
          <w:highlight w:val="yellow"/>
          <w:lang w:val="en-GB"/>
        </w:rPr>
      </w:pPr>
      <w:r>
        <w:rPr>
          <w:rFonts w:hint="eastAsia"/>
          <w:b/>
          <w:bCs/>
          <w:kern w:val="2"/>
          <w:sz w:val="30"/>
          <w:szCs w:val="30"/>
        </w:rPr>
        <w:t>5.推荐成交候选供应商方法：</w:t>
      </w:r>
      <w:r>
        <w:rPr>
          <w:rFonts w:hint="eastAsia"/>
          <w:kern w:val="2"/>
          <w:sz w:val="30"/>
          <w:szCs w:val="30"/>
          <w:highlight w:val="yellow"/>
          <w:lang w:val="en-GB"/>
        </w:rPr>
        <w:t>谈判小组从质量和服务均能满足采购文件实质性响应要求的供应商中，按照最后报价由低到高的</w:t>
      </w:r>
      <w:r>
        <w:rPr>
          <w:rFonts w:hint="eastAsia"/>
          <w:color w:val="auto"/>
          <w:kern w:val="2"/>
          <w:sz w:val="30"/>
          <w:szCs w:val="30"/>
          <w:highlight w:val="yellow"/>
          <w:lang w:val="en-GB"/>
        </w:rPr>
        <w:t>顺序确定成交候选人，并编写评审报告。</w:t>
      </w:r>
    </w:p>
    <w:bookmarkEnd w:id="12"/>
    <w:p>
      <w:pPr>
        <w:pStyle w:val="16"/>
        <w:spacing w:before="0" w:beforeAutospacing="0" w:after="0" w:afterAutospacing="0" w:line="460" w:lineRule="exact"/>
        <w:ind w:firstLine="602" w:firstLineChars="200"/>
        <w:jc w:val="both"/>
        <w:rPr>
          <w:b/>
          <w:bCs/>
          <w:kern w:val="2"/>
          <w:sz w:val="30"/>
          <w:szCs w:val="30"/>
        </w:rPr>
      </w:pPr>
      <w:bookmarkStart w:id="14" w:name="_Toc286758340"/>
      <w:r>
        <w:rPr>
          <w:rFonts w:hint="eastAsia"/>
          <w:b/>
          <w:bCs/>
          <w:kern w:val="2"/>
          <w:sz w:val="30"/>
          <w:szCs w:val="30"/>
        </w:rPr>
        <w:t xml:space="preserve">6. </w:t>
      </w:r>
      <w:bookmarkEnd w:id="14"/>
      <w:r>
        <w:rPr>
          <w:rFonts w:hint="eastAsia"/>
          <w:b/>
          <w:bCs/>
          <w:kern w:val="2"/>
          <w:sz w:val="30"/>
          <w:szCs w:val="30"/>
        </w:rPr>
        <w:t>成交结果公告</w:t>
      </w:r>
    </w:p>
    <w:p>
      <w:pPr>
        <w:spacing w:line="440" w:lineRule="atLeast"/>
        <w:ind w:firstLine="600" w:firstLineChars="200"/>
        <w:rPr>
          <w:rFonts w:ascii="宋体" w:hAnsi="宋体" w:cs="宋体"/>
          <w:sz w:val="30"/>
          <w:szCs w:val="30"/>
        </w:rPr>
      </w:pPr>
      <w:r>
        <w:rPr>
          <w:rFonts w:hint="eastAsia" w:ascii="宋体" w:hAnsi="宋体" w:cs="宋体"/>
          <w:sz w:val="30"/>
          <w:szCs w:val="30"/>
        </w:rPr>
        <w:t>成交供应商确定后，赣州市人民医院网上公告成交结果，公告期限为1个工作日。向成交供应商发出成交通知书。成交通知书是合同的一个组成部分。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7.质疑</w:t>
      </w:r>
    </w:p>
    <w:p>
      <w:pPr>
        <w:pStyle w:val="16"/>
        <w:spacing w:before="0" w:beforeAutospacing="0" w:after="0" w:afterAutospacing="0" w:line="460" w:lineRule="exact"/>
        <w:ind w:firstLine="600" w:firstLineChars="200"/>
        <w:jc w:val="both"/>
        <w:rPr>
          <w:kern w:val="2"/>
          <w:sz w:val="30"/>
          <w:szCs w:val="30"/>
        </w:rPr>
      </w:pPr>
      <w:bookmarkStart w:id="15" w:name="_Toc445715221"/>
      <w:bookmarkStart w:id="16" w:name="_Toc286758341"/>
      <w:bookmarkStart w:id="17" w:name="_Toc376848255"/>
      <w:r>
        <w:rPr>
          <w:rFonts w:hint="eastAsia"/>
          <w:kern w:val="2"/>
          <w:sz w:val="30"/>
          <w:szCs w:val="30"/>
        </w:rPr>
        <w:t>7.1 供应商认为谈判文件、谈判过程、成交结果使自己的权益受到损害的，可以在知道或者应知其权益受到损害之日起3日内，以书面形式向采购人提出质疑。</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2）对谈判过程、对成交结果提出质疑的，为各谈判程序环节结束之日起3日内；</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7.3 提出质疑的供应商应当是参与所质疑项目采购活动的供应商。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7.4供应商提出质疑应当提交质疑函和必要的证明材料。质疑函应当包括下列内容：</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（一）供应商的姓名或者名称、地址、邮编、联系人及联系电话；</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（二）质疑项目的名称、编号；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（三）具体、明确的质疑事项和与质疑事项相关的请求；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（四）事实依据；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（五）必要的法律依据；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（六）提出质疑的日期。</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p>
    <w:bookmarkEnd w:id="15"/>
    <w:bookmarkEnd w:id="16"/>
    <w:bookmarkEnd w:id="17"/>
    <w:p>
      <w:pPr>
        <w:pStyle w:val="2"/>
        <w:spacing w:before="240" w:after="240"/>
        <w:jc w:val="center"/>
        <w:rPr>
          <w:rFonts w:ascii="仿宋" w:hAnsi="仿宋" w:eastAsia="仿宋" w:cs="仿宋"/>
          <w:b/>
          <w:kern w:val="0"/>
          <w:sz w:val="32"/>
          <w:szCs w:val="32"/>
        </w:rPr>
      </w:pPr>
      <w:bookmarkStart w:id="18" w:name="_Toc533775677"/>
      <w:r>
        <w:rPr>
          <w:rFonts w:hint="eastAsia"/>
          <w:b/>
          <w:sz w:val="32"/>
        </w:rPr>
        <w:t>第三章　</w:t>
      </w:r>
      <w:bookmarkStart w:id="19" w:name="_Toc387418052"/>
      <w:bookmarkStart w:id="20" w:name="_Toc225565935"/>
      <w:r>
        <w:rPr>
          <w:rFonts w:hint="eastAsia"/>
          <w:b/>
          <w:sz w:val="32"/>
        </w:rPr>
        <w:t>合同草案</w:t>
      </w:r>
      <w:bookmarkEnd w:id="18"/>
    </w:p>
    <w:p>
      <w:pPr>
        <w:pStyle w:val="2"/>
        <w:jc w:val="center"/>
        <w:rPr>
          <w:rFonts w:ascii="仿宋" w:hAnsi="仿宋" w:eastAsia="仿宋" w:cs="仿宋"/>
          <w:kern w:val="0"/>
          <w:sz w:val="52"/>
          <w:szCs w:val="52"/>
        </w:rPr>
      </w:pPr>
      <w:bookmarkStart w:id="21" w:name="_Toc533775678"/>
      <w:r>
        <w:rPr>
          <w:rFonts w:hint="eastAsia" w:ascii="仿宋" w:hAnsi="仿宋" w:eastAsia="仿宋" w:cs="仿宋"/>
          <w:kern w:val="0"/>
          <w:sz w:val="52"/>
          <w:szCs w:val="52"/>
        </w:rPr>
        <w:t>赣州市人民医院</w:t>
      </w:r>
    </w:p>
    <w:p>
      <w:pPr>
        <w:pStyle w:val="2"/>
        <w:jc w:val="center"/>
        <w:rPr>
          <w:rFonts w:ascii="仿宋" w:hAnsi="仿宋" w:eastAsia="仿宋" w:cs="仿宋"/>
          <w:kern w:val="0"/>
          <w:sz w:val="52"/>
          <w:szCs w:val="52"/>
        </w:rPr>
      </w:pPr>
      <w:r>
        <w:rPr>
          <w:rFonts w:hint="eastAsia" w:ascii="仿宋" w:hAnsi="仿宋" w:eastAsia="仿宋" w:cs="仿宋"/>
          <w:kern w:val="0"/>
          <w:sz w:val="52"/>
          <w:szCs w:val="52"/>
        </w:rPr>
        <w:t>政府采购合同</w:t>
      </w:r>
    </w:p>
    <w:p>
      <w:pPr>
        <w:rPr>
          <w:rFonts w:eastAsia="仿宋"/>
        </w:rPr>
      </w:pPr>
      <w:r>
        <w:rPr>
          <w:rFonts w:hint="eastAsia" w:ascii="仿宋" w:hAnsi="仿宋" w:eastAsia="仿宋" w:cs="仿宋"/>
          <w:kern w:val="0"/>
          <w:sz w:val="32"/>
          <w:szCs w:val="32"/>
        </w:rPr>
        <w:t xml:space="preserve">              合同编号（</w:t>
      </w:r>
      <w:r>
        <w:rPr>
          <w:rFonts w:hint="eastAsia" w:ascii="仿宋" w:hAnsi="仿宋" w:eastAsia="仿宋" w:cs="仿宋"/>
          <w:kern w:val="0"/>
          <w:sz w:val="32"/>
          <w:szCs w:val="32"/>
          <w:u w:val="single"/>
        </w:rPr>
        <w:t>2020******</w:t>
      </w:r>
      <w:r>
        <w:rPr>
          <w:rFonts w:hint="eastAsia" w:ascii="仿宋" w:hAnsi="仿宋" w:eastAsia="仿宋" w:cs="仿宋"/>
          <w:kern w:val="0"/>
          <w:sz w:val="32"/>
          <w:szCs w:val="32"/>
        </w:rPr>
        <w:t>）</w:t>
      </w:r>
    </w:p>
    <w:p>
      <w:pPr>
        <w:pStyle w:val="2"/>
        <w:ind w:firstLine="704" w:firstLineChars="220"/>
        <w:rPr>
          <w:rFonts w:ascii="仿宋" w:hAnsi="仿宋" w:eastAsia="仿宋" w:cs="仿宋"/>
          <w:kern w:val="0"/>
          <w:sz w:val="32"/>
          <w:szCs w:val="32"/>
        </w:rPr>
      </w:pPr>
      <w:r>
        <w:rPr>
          <w:rFonts w:hint="eastAsia" w:ascii="仿宋" w:hAnsi="仿宋" w:eastAsia="仿宋" w:cs="仿宋"/>
          <w:kern w:val="0"/>
          <w:sz w:val="32"/>
          <w:szCs w:val="32"/>
        </w:rPr>
        <w:t>甲方：赣州市人民医院</w:t>
      </w:r>
    </w:p>
    <w:p>
      <w:pPr>
        <w:ind w:firstLine="750" w:firstLineChars="250"/>
        <w:rPr>
          <w:rFonts w:ascii="宋体" w:hAnsi="宋体" w:cs="宋体"/>
          <w:sz w:val="30"/>
          <w:szCs w:val="30"/>
        </w:rPr>
      </w:pPr>
      <w:r>
        <w:rPr>
          <w:rFonts w:hint="eastAsia" w:ascii="宋体" w:hAnsi="宋体" w:cs="宋体"/>
          <w:sz w:val="30"/>
          <w:szCs w:val="30"/>
        </w:rPr>
        <w:t>地址：赣州市梅关大道16号</w:t>
      </w:r>
    </w:p>
    <w:p>
      <w:pPr>
        <w:ind w:firstLine="750" w:firstLineChars="250"/>
        <w:rPr>
          <w:rFonts w:ascii="宋体" w:hAnsi="宋体" w:cs="宋体"/>
          <w:sz w:val="30"/>
          <w:szCs w:val="30"/>
        </w:rPr>
      </w:pPr>
      <w:r>
        <w:rPr>
          <w:rFonts w:hint="eastAsia" w:ascii="宋体" w:hAnsi="宋体" w:cs="宋体"/>
          <w:sz w:val="30"/>
          <w:szCs w:val="30"/>
        </w:rPr>
        <w:t>电话：0797-5889203</w:t>
      </w:r>
    </w:p>
    <w:p>
      <w:pPr>
        <w:ind w:firstLine="750" w:firstLineChars="250"/>
        <w:rPr>
          <w:rFonts w:ascii="宋体" w:hAnsi="宋体" w:cs="宋体"/>
          <w:sz w:val="30"/>
          <w:szCs w:val="30"/>
        </w:rPr>
      </w:pPr>
    </w:p>
    <w:p>
      <w:pPr>
        <w:pStyle w:val="2"/>
        <w:ind w:left="1631" w:leftChars="327" w:hanging="944" w:hangingChars="295"/>
        <w:rPr>
          <w:rFonts w:ascii="仿宋" w:hAnsi="仿宋" w:eastAsia="仿宋" w:cs="仿宋"/>
          <w:kern w:val="0"/>
          <w:sz w:val="32"/>
          <w:szCs w:val="32"/>
        </w:rPr>
      </w:pPr>
      <w:r>
        <w:rPr>
          <w:rFonts w:hint="eastAsia" w:ascii="仿宋" w:hAnsi="仿宋" w:eastAsia="仿宋" w:cs="仿宋"/>
          <w:kern w:val="0"/>
          <w:sz w:val="32"/>
          <w:szCs w:val="32"/>
        </w:rPr>
        <w:t>乙方：*****</w:t>
      </w:r>
      <w:r>
        <w:rPr>
          <w:rFonts w:hint="eastAsia" w:ascii="仿宋" w:hAnsi="仿宋" w:eastAsia="仿宋" w:cs="仿宋"/>
          <w:kern w:val="0"/>
          <w:sz w:val="32"/>
          <w:szCs w:val="32"/>
        </w:rPr>
        <w:tab/>
      </w:r>
    </w:p>
    <w:p>
      <w:pPr>
        <w:ind w:firstLine="750" w:firstLineChars="250"/>
        <w:rPr>
          <w:rFonts w:ascii="宋体" w:hAnsi="宋体" w:cs="宋体"/>
          <w:sz w:val="30"/>
          <w:szCs w:val="30"/>
        </w:rPr>
      </w:pPr>
      <w:r>
        <w:rPr>
          <w:rFonts w:hint="eastAsia" w:ascii="宋体" w:hAnsi="宋体" w:cs="宋体"/>
          <w:sz w:val="30"/>
          <w:szCs w:val="30"/>
        </w:rPr>
        <w:t>公司地址：*******</w:t>
      </w:r>
    </w:p>
    <w:p>
      <w:pPr>
        <w:ind w:firstLine="750" w:firstLineChars="250"/>
        <w:rPr>
          <w:rFonts w:ascii="宋体" w:hAnsi="宋体" w:cs="宋体"/>
          <w:sz w:val="30"/>
          <w:szCs w:val="30"/>
        </w:rPr>
      </w:pPr>
      <w:r>
        <w:rPr>
          <w:rFonts w:hint="eastAsia" w:ascii="宋体" w:hAnsi="宋体" w:cs="宋体"/>
          <w:sz w:val="30"/>
          <w:szCs w:val="30"/>
        </w:rPr>
        <w:t>联系人：******</w:t>
      </w:r>
    </w:p>
    <w:p>
      <w:pPr>
        <w:pStyle w:val="2"/>
        <w:ind w:firstLine="627" w:firstLineChars="196"/>
        <w:jc w:val="left"/>
        <w:rPr>
          <w:rFonts w:ascii="仿宋" w:hAnsi="仿宋" w:eastAsia="仿宋" w:cs="仿宋"/>
          <w:kern w:val="0"/>
          <w:sz w:val="32"/>
          <w:szCs w:val="32"/>
        </w:rPr>
      </w:pPr>
      <w:r>
        <w:rPr>
          <w:rFonts w:hint="eastAsia" w:ascii="仿宋" w:hAnsi="仿宋" w:eastAsia="仿宋" w:cs="仿宋"/>
          <w:kern w:val="0"/>
          <w:sz w:val="32"/>
          <w:szCs w:val="32"/>
        </w:rPr>
        <w:t>签约时间：2020年**月**日</w:t>
      </w:r>
    </w:p>
    <w:p>
      <w:pPr>
        <w:pStyle w:val="2"/>
        <w:ind w:firstLine="627" w:firstLineChars="196"/>
        <w:jc w:val="left"/>
        <w:rPr>
          <w:rFonts w:ascii="仿宋" w:hAnsi="仿宋" w:eastAsia="仿宋" w:cs="仿宋"/>
          <w:kern w:val="0"/>
          <w:sz w:val="36"/>
          <w:szCs w:val="36"/>
        </w:rPr>
      </w:pPr>
      <w:r>
        <w:rPr>
          <w:rFonts w:hint="eastAsia" w:ascii="仿宋" w:hAnsi="仿宋" w:eastAsia="仿宋" w:cs="仿宋"/>
          <w:kern w:val="0"/>
          <w:sz w:val="32"/>
          <w:szCs w:val="32"/>
        </w:rPr>
        <w:t xml:space="preserve">签约地点：赣州市人民医院  </w:t>
      </w:r>
    </w:p>
    <w:p>
      <w:pPr>
        <w:rPr>
          <w:rFonts w:ascii="仿宋" w:hAnsi="仿宋" w:eastAsia="仿宋" w:cs="仿宋"/>
        </w:rPr>
      </w:pPr>
    </w:p>
    <w:p>
      <w:pPr>
        <w:spacing w:line="500" w:lineRule="exact"/>
        <w:jc w:val="center"/>
        <w:rPr>
          <w:rFonts w:ascii="仿宋_GB2312" w:hAnsi="仿宋_GB2312" w:eastAsia="仿宋_GB2312" w:cs="仿宋_GB2312"/>
          <w:b/>
          <w:bCs/>
          <w:sz w:val="28"/>
          <w:szCs w:val="28"/>
          <w:u w:val="single"/>
        </w:rPr>
      </w:pPr>
    </w:p>
    <w:p>
      <w:pPr>
        <w:spacing w:line="500" w:lineRule="exact"/>
        <w:jc w:val="center"/>
        <w:rPr>
          <w:rFonts w:ascii="仿宋_GB2312" w:hAnsi="仿宋_GB2312" w:eastAsia="仿宋_GB2312" w:cs="仿宋_GB2312"/>
          <w:b/>
          <w:bCs/>
          <w:sz w:val="28"/>
          <w:szCs w:val="28"/>
          <w:u w:val="single"/>
        </w:rPr>
      </w:pPr>
    </w:p>
    <w:p>
      <w:pPr>
        <w:spacing w:line="500" w:lineRule="exact"/>
        <w:jc w:val="center"/>
        <w:rPr>
          <w:rFonts w:ascii="仿宋_GB2312" w:hAnsi="仿宋_GB2312" w:eastAsia="仿宋_GB2312" w:cs="仿宋_GB2312"/>
          <w:b/>
          <w:bCs/>
          <w:sz w:val="28"/>
          <w:szCs w:val="28"/>
          <w:u w:val="singl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b/>
          <w:sz w:val="28"/>
          <w:szCs w:val="28"/>
        </w:rPr>
        <w:t>政府</w:t>
      </w:r>
      <w:r>
        <w:rPr>
          <w:rFonts w:hint="eastAsia" w:ascii="仿宋_GB2312" w:hAnsi="仿宋_GB2312" w:eastAsia="仿宋_GB2312" w:cs="仿宋_GB2312"/>
          <w:b/>
          <w:bCs/>
          <w:sz w:val="28"/>
          <w:szCs w:val="28"/>
        </w:rPr>
        <w:t>采购合同</w:t>
      </w:r>
    </w:p>
    <w:p>
      <w:pPr>
        <w:keepNext w:val="0"/>
        <w:keepLines w:val="0"/>
        <w:pageBreakBefore w:val="0"/>
        <w:tabs>
          <w:tab w:val="left" w:pos="4620"/>
        </w:tabs>
        <w:kinsoku/>
        <w:wordWrap/>
        <w:overflowPunct/>
        <w:topLinePunct w:val="0"/>
        <w:autoSpaceDE/>
        <w:autoSpaceDN/>
        <w:bidi w:val="0"/>
        <w:adjustRightInd/>
        <w:snapToGrid/>
        <w:spacing w:line="6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甲、乙双方根据</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sz w:val="28"/>
          <w:szCs w:val="28"/>
        </w:rPr>
        <w:t>组织招标（项目编号</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sz w:val="28"/>
          <w:szCs w:val="28"/>
        </w:rPr>
        <w:t>）的招标结果和招标(竞谈)文件的要求，并经双方协商一致，同意按下述条件签订本合同。</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1、合同文件的组成：</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以下内容是组成本合同文件不可分割的部分：</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（1）本政府采购合同；</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（2）中标通知书；</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（3）招标（竞谈）文件（</w:t>
      </w:r>
      <w:r>
        <w:rPr>
          <w:rFonts w:hint="eastAsia" w:ascii="仿宋_GB2312" w:hAnsi="仿宋" w:eastAsia="仿宋_GB2312"/>
          <w:sz w:val="28"/>
          <w:szCs w:val="28"/>
        </w:rPr>
        <w:t>含采购过程补充通知、答疑回复、变更等</w:t>
      </w:r>
      <w:r>
        <w:rPr>
          <w:rFonts w:hint="eastAsia" w:ascii="仿宋_GB2312" w:hAnsi="仿宋_GB2312" w:eastAsia="仿宋_GB2312" w:cs="仿宋_GB2312"/>
          <w:sz w:val="28"/>
          <w:szCs w:val="28"/>
        </w:rPr>
        <w:t>）；</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（4）响应文件；</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注：若上述文件就某一事项意思表达不一致，则按以下顺序进行解释，合同优于中标通知书，中标通知书优于响应文件，响应文件优于招标（竞谈）文件。</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2、合同范围和条件：本合同的范围和条件应与上述合同文件的规定一致。</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3、设备名称、品牌型号及数量、单价：</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7"/>
        <w:gridCol w:w="2325"/>
        <w:gridCol w:w="1061"/>
        <w:gridCol w:w="1291"/>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97" w:type="dxa"/>
            <w:noWrap/>
            <w:vAlign w:val="center"/>
          </w:tcPr>
          <w:p>
            <w:pPr>
              <w:widowControl/>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设备名称</w:t>
            </w:r>
          </w:p>
        </w:tc>
        <w:tc>
          <w:tcPr>
            <w:tcW w:w="2325" w:type="dxa"/>
            <w:noWrap/>
            <w:vAlign w:val="center"/>
          </w:tcPr>
          <w:p>
            <w:pPr>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品牌及规格型号</w:t>
            </w:r>
          </w:p>
        </w:tc>
        <w:tc>
          <w:tcPr>
            <w:tcW w:w="1061" w:type="dxa"/>
            <w:noWrap/>
            <w:vAlign w:val="center"/>
          </w:tcPr>
          <w:p>
            <w:pPr>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1291" w:type="dxa"/>
            <w:noWrap/>
            <w:vAlign w:val="center"/>
          </w:tcPr>
          <w:p>
            <w:pPr>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单价（元）</w:t>
            </w:r>
          </w:p>
        </w:tc>
        <w:tc>
          <w:tcPr>
            <w:tcW w:w="1702" w:type="dxa"/>
            <w:noWrap/>
            <w:vAlign w:val="center"/>
          </w:tcPr>
          <w:p>
            <w:pPr>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总金额</w:t>
            </w:r>
          </w:p>
          <w:p>
            <w:pPr>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2697" w:type="dxa"/>
            <w:noWrap/>
            <w:vAlign w:val="center"/>
          </w:tcPr>
          <w:p>
            <w:pPr>
              <w:spacing w:line="400" w:lineRule="exact"/>
              <w:jc w:val="center"/>
              <w:rPr>
                <w:rFonts w:ascii="仿宋_GB2312" w:hAnsi="仿宋_GB2312" w:eastAsia="仿宋_GB2312" w:cs="仿宋_GB2312"/>
                <w:b/>
                <w:sz w:val="28"/>
                <w:szCs w:val="28"/>
              </w:rPr>
            </w:pPr>
            <w:r>
              <w:rPr>
                <w:rFonts w:hint="eastAsia" w:ascii="仿宋_GB2312" w:hAnsi="仿宋_GB2312" w:eastAsia="仿宋_GB2312" w:cs="仿宋_GB2312"/>
                <w:b/>
                <w:bCs/>
                <w:sz w:val="28"/>
                <w:szCs w:val="28"/>
              </w:rPr>
              <w:t>************</w:t>
            </w:r>
          </w:p>
        </w:tc>
        <w:tc>
          <w:tcPr>
            <w:tcW w:w="2325" w:type="dxa"/>
            <w:noWrap/>
            <w:vAlign w:val="center"/>
          </w:tcPr>
          <w:p>
            <w:pPr>
              <w:spacing w:line="400" w:lineRule="exact"/>
              <w:jc w:val="center"/>
              <w:rPr>
                <w:rFonts w:ascii="仿宋" w:hAnsi="仿宋" w:eastAsia="仿宋" w:cs="仿宋"/>
                <w:b/>
                <w:bCs/>
                <w:sz w:val="28"/>
                <w:szCs w:val="28"/>
              </w:rPr>
            </w:pPr>
            <w:r>
              <w:rPr>
                <w:rFonts w:hint="eastAsia" w:ascii="仿宋_GB2312" w:hAnsi="仿宋_GB2312" w:eastAsia="仿宋_GB2312" w:cs="仿宋_GB2312"/>
                <w:b/>
                <w:bCs/>
                <w:sz w:val="28"/>
                <w:szCs w:val="28"/>
              </w:rPr>
              <w:t>************</w:t>
            </w:r>
          </w:p>
        </w:tc>
        <w:tc>
          <w:tcPr>
            <w:tcW w:w="1061" w:type="dxa"/>
            <w:noWrap/>
            <w:vAlign w:val="center"/>
          </w:tcPr>
          <w:p>
            <w:pPr>
              <w:spacing w:line="52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**台</w:t>
            </w:r>
          </w:p>
        </w:tc>
        <w:tc>
          <w:tcPr>
            <w:tcW w:w="1291" w:type="dxa"/>
            <w:noWrap/>
            <w:vAlign w:val="center"/>
          </w:tcPr>
          <w:p>
            <w:pPr>
              <w:spacing w:line="520" w:lineRule="exact"/>
              <w:jc w:val="center"/>
              <w:rPr>
                <w:rFonts w:ascii="仿宋_GB2312" w:hAnsi="仿宋_GB2312" w:eastAsia="仿宋_GB2312" w:cs="仿宋_GB2312"/>
                <w:b/>
                <w:sz w:val="28"/>
                <w:szCs w:val="28"/>
              </w:rPr>
            </w:pPr>
            <w:r>
              <w:rPr>
                <w:rFonts w:hint="eastAsia" w:ascii="仿宋_GB2312" w:hAnsi="仿宋_GB2312" w:eastAsia="仿宋_GB2312" w:cs="仿宋_GB2312"/>
                <w:b/>
                <w:bCs/>
                <w:sz w:val="28"/>
                <w:szCs w:val="28"/>
              </w:rPr>
              <w:t>******</w:t>
            </w:r>
          </w:p>
        </w:tc>
        <w:tc>
          <w:tcPr>
            <w:tcW w:w="1702" w:type="dxa"/>
            <w:noWrap/>
            <w:vAlign w:val="center"/>
          </w:tcPr>
          <w:p>
            <w:pPr>
              <w:spacing w:line="520" w:lineRule="exact"/>
              <w:jc w:val="center"/>
              <w:rPr>
                <w:rFonts w:ascii="仿宋_GB2312" w:hAnsi="仿宋_GB2312" w:eastAsia="仿宋_GB2312" w:cs="仿宋_GB2312"/>
                <w:b/>
                <w:sz w:val="28"/>
                <w:szCs w:val="28"/>
              </w:rPr>
            </w:pPr>
            <w:r>
              <w:rPr>
                <w:rFonts w:hint="eastAsia" w:ascii="仿宋_GB2312" w:hAnsi="仿宋_GB2312" w:eastAsia="仿宋_GB2312" w:cs="仿宋_GB2312"/>
                <w:b/>
                <w:bCs/>
                <w:sz w:val="28"/>
                <w:szCs w:val="28"/>
              </w:rPr>
              <w:t>******</w:t>
            </w:r>
          </w:p>
        </w:tc>
      </w:tr>
    </w:tbl>
    <w:p>
      <w:pPr>
        <w:keepNext w:val="0"/>
        <w:keepLines w:val="0"/>
        <w:pageBreakBefore w:val="0"/>
        <w:widowControl/>
        <w:kinsoku/>
        <w:wordWrap/>
        <w:overflowPunct/>
        <w:topLinePunct w:val="0"/>
        <w:autoSpaceDE/>
        <w:autoSpaceDN/>
        <w:bidi w:val="0"/>
        <w:adjustRightInd/>
        <w:snapToGrid/>
        <w:spacing w:line="600" w:lineRule="exact"/>
        <w:ind w:left="0" w:firstLine="840" w:firstLineChars="3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合同总金额：本项目采用固定总价合同，合同总金额为人民币</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u w:val="single"/>
        </w:rPr>
        <w:t>*******.00</w:t>
      </w:r>
      <w:r>
        <w:rPr>
          <w:rFonts w:hint="eastAsia" w:ascii="仿宋_GB2312" w:hAnsi="仿宋_GB2312" w:eastAsia="仿宋_GB2312" w:cs="仿宋_GB2312"/>
          <w:b/>
          <w:bCs/>
          <w:sz w:val="28"/>
          <w:szCs w:val="28"/>
        </w:rPr>
        <w:t>元）。</w:t>
      </w:r>
      <w:r>
        <w:rPr>
          <w:rFonts w:hint="eastAsia" w:ascii="仿宋_GB2312" w:hAnsi="仿宋_GB2312" w:eastAsia="仿宋_GB2312" w:cs="仿宋_GB2312"/>
          <w:sz w:val="28"/>
          <w:szCs w:val="28"/>
        </w:rPr>
        <w:t>本合同总价款是货物设计、制造、包装、仓储、运输、安装及乙方应当提供的伴随服务/售后服务的所有费用。</w:t>
      </w:r>
    </w:p>
    <w:p>
      <w:pPr>
        <w:keepNext w:val="0"/>
        <w:keepLines w:val="0"/>
        <w:pageBreakBefore w:val="0"/>
        <w:widowControl/>
        <w:kinsoku/>
        <w:wordWrap/>
        <w:overflowPunct/>
        <w:topLinePunct w:val="0"/>
        <w:autoSpaceDE/>
        <w:autoSpaceDN/>
        <w:bidi w:val="0"/>
        <w:adjustRightInd/>
        <w:snapToGrid/>
        <w:spacing w:line="600" w:lineRule="exact"/>
        <w:ind w:left="0"/>
        <w:textAlignment w:val="auto"/>
        <w:rPr>
          <w:rFonts w:hint="eastAsia" w:ascii="仿宋" w:hAnsi="仿宋" w:eastAsia="仿宋" w:cs="仿宋"/>
          <w:color w:val="auto"/>
          <w:sz w:val="28"/>
          <w:szCs w:val="28"/>
          <w:highlight w:val="none"/>
        </w:rPr>
      </w:pPr>
      <w:r>
        <w:rPr>
          <w:rFonts w:hint="eastAsia" w:ascii="仿宋_GB2312" w:hAnsi="仿宋_GB2312" w:eastAsia="仿宋_GB2312" w:cs="仿宋_GB2312"/>
          <w:sz w:val="28"/>
          <w:szCs w:val="28"/>
        </w:rPr>
        <w:t>4、付款方式</w:t>
      </w:r>
      <w:r>
        <w:rPr>
          <w:rFonts w:hint="eastAsia" w:ascii="仿宋" w:hAnsi="仿宋" w:eastAsia="仿宋" w:cs="仿宋"/>
          <w:color w:val="auto"/>
          <w:sz w:val="28"/>
          <w:szCs w:val="28"/>
          <w:highlight w:val="none"/>
        </w:rPr>
        <w:t>：按批次供货，每次供货验收合格一个月后付该批次货款的100%，乙方应提供相应金额的合法税票。</w:t>
      </w:r>
    </w:p>
    <w:p>
      <w:pPr>
        <w:keepNext w:val="0"/>
        <w:keepLines w:val="0"/>
        <w:pageBreakBefore w:val="0"/>
        <w:widowControl/>
        <w:kinsoku/>
        <w:wordWrap/>
        <w:overflowPunct/>
        <w:topLinePunct w:val="0"/>
        <w:autoSpaceDE/>
        <w:autoSpaceDN/>
        <w:bidi w:val="0"/>
        <w:adjustRightInd/>
        <w:snapToGrid/>
        <w:spacing w:line="600" w:lineRule="exact"/>
        <w:ind w:left="0"/>
        <w:textAlignment w:val="auto"/>
        <w:rPr>
          <w:rFonts w:ascii="仿宋" w:hAnsi="仿宋" w:eastAsia="仿宋" w:cs="仿宋"/>
          <w:sz w:val="28"/>
          <w:szCs w:val="28"/>
        </w:rPr>
      </w:pPr>
      <w:r>
        <w:rPr>
          <w:rFonts w:hint="eastAsia" w:ascii="仿宋_GB2312" w:hAnsi="仿宋_GB2312" w:eastAsia="仿宋_GB2312" w:cs="仿宋_GB2312"/>
          <w:sz w:val="28"/>
          <w:szCs w:val="28"/>
        </w:rPr>
        <w:t>5、质量保证</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jc w:val="both"/>
        <w:textAlignment w:val="auto"/>
        <w:rPr>
          <w:rFonts w:ascii="仿宋" w:hAnsi="仿宋" w:eastAsia="仿宋" w:cs="仿宋"/>
          <w:sz w:val="28"/>
          <w:szCs w:val="28"/>
        </w:rPr>
      </w:pPr>
      <w:r>
        <w:rPr>
          <w:rFonts w:hint="eastAsia" w:ascii="仿宋" w:hAnsi="仿宋" w:eastAsia="仿宋" w:cs="仿宋"/>
          <w:sz w:val="28"/>
          <w:szCs w:val="28"/>
        </w:rPr>
        <w:t>5.1收到中标通知书后，</w:t>
      </w:r>
      <w:r>
        <w:rPr>
          <w:rFonts w:hint="eastAsia" w:ascii="仿宋" w:hAnsi="仿宋" w:eastAsia="仿宋" w:cs="仿宋"/>
          <w:kern w:val="2"/>
          <w:sz w:val="28"/>
          <w:szCs w:val="28"/>
          <w:highlight w:val="yellow"/>
        </w:rPr>
        <w:t>乙方的响应保证金转为履约保证金，合同到期结束后一次性无息退还。</w:t>
      </w:r>
    </w:p>
    <w:p>
      <w:pPr>
        <w:keepNext w:val="0"/>
        <w:keepLines w:val="0"/>
        <w:pageBreakBefore w:val="0"/>
        <w:widowControl/>
        <w:kinsoku/>
        <w:wordWrap/>
        <w:overflowPunct/>
        <w:topLinePunct w:val="0"/>
        <w:autoSpaceDE/>
        <w:autoSpaceDN/>
        <w:bidi w:val="0"/>
        <w:adjustRightInd/>
        <w:snapToGrid/>
        <w:spacing w:line="600" w:lineRule="exact"/>
        <w:ind w:left="0"/>
        <w:textAlignment w:val="auto"/>
        <w:rPr>
          <w:rFonts w:ascii="仿宋_GB2312" w:hAnsi="仿宋_GB2312" w:eastAsia="仿宋_GB2312" w:cs="仿宋_GB2312"/>
          <w:sz w:val="28"/>
          <w:szCs w:val="28"/>
        </w:rPr>
      </w:pPr>
      <w:r>
        <w:rPr>
          <w:rFonts w:hint="eastAsia" w:ascii="仿宋" w:hAnsi="仿宋" w:eastAsia="仿宋" w:cs="仿宋"/>
          <w:sz w:val="28"/>
          <w:szCs w:val="28"/>
        </w:rPr>
        <w:t>5.2乙方应保证货物是全新、未使用过的原装合</w:t>
      </w:r>
      <w:r>
        <w:rPr>
          <w:rFonts w:hint="eastAsia" w:ascii="仿宋_GB2312" w:hAnsi="仿宋_GB2312" w:eastAsia="仿宋_GB2312" w:cs="仿宋_GB2312"/>
          <w:sz w:val="28"/>
          <w:szCs w:val="28"/>
        </w:rPr>
        <w:t>格正品，并完全符合本招标（谈判）文件及本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因此而造成甲方的任何损失由乙方承担。</w:t>
      </w:r>
    </w:p>
    <w:p>
      <w:pPr>
        <w:keepNext w:val="0"/>
        <w:keepLines w:val="0"/>
        <w:pageBreakBefore w:val="0"/>
        <w:widowControl/>
        <w:kinsoku/>
        <w:wordWrap/>
        <w:overflowPunct/>
        <w:topLinePunct w:val="0"/>
        <w:autoSpaceDE/>
        <w:autoSpaceDN/>
        <w:bidi w:val="0"/>
        <w:adjustRightInd/>
        <w:snapToGrid/>
        <w:spacing w:line="600" w:lineRule="exact"/>
        <w:ind w:left="0"/>
        <w:textAlignment w:val="auto"/>
        <w:rPr>
          <w:rFonts w:ascii="仿宋_GB2312" w:hAnsi="仿宋_GB2312" w:eastAsia="仿宋_GB2312" w:cs="仿宋_GB2312"/>
          <w:sz w:val="28"/>
          <w:szCs w:val="28"/>
          <w:highlight w:val="cyan"/>
        </w:rPr>
      </w:pPr>
      <w:r>
        <w:rPr>
          <w:rFonts w:hint="eastAsia" w:ascii="仿宋_GB2312" w:hAnsi="仿宋_GB2312" w:eastAsia="仿宋_GB2312" w:cs="仿宋_GB2312"/>
          <w:sz w:val="28"/>
          <w:szCs w:val="28"/>
          <w:highlight w:val="cyan"/>
        </w:rPr>
        <w:t>5.3乙方应保证为甲方提供的任何产品的全部或部分、硬件或软件等，均不得侵犯第三方合法拥有的知识产权。</w:t>
      </w:r>
    </w:p>
    <w:p>
      <w:pPr>
        <w:keepNext w:val="0"/>
        <w:keepLines w:val="0"/>
        <w:pageBreakBefore w:val="0"/>
        <w:widowControl/>
        <w:kinsoku/>
        <w:wordWrap/>
        <w:overflowPunct/>
        <w:topLinePunct w:val="0"/>
        <w:autoSpaceDE/>
        <w:autoSpaceDN/>
        <w:bidi w:val="0"/>
        <w:adjustRightInd/>
        <w:snapToGrid/>
        <w:spacing w:line="600" w:lineRule="exact"/>
        <w:ind w:left="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6、交货时间、交货地点： </w:t>
      </w:r>
    </w:p>
    <w:p>
      <w:pPr>
        <w:keepNext w:val="0"/>
        <w:keepLines w:val="0"/>
        <w:pageBreakBefore w:val="0"/>
        <w:widowControl/>
        <w:kinsoku/>
        <w:wordWrap/>
        <w:overflowPunct/>
        <w:topLinePunct w:val="0"/>
        <w:autoSpaceDE/>
        <w:autoSpaceDN/>
        <w:bidi w:val="0"/>
        <w:adjustRightInd/>
        <w:snapToGrid/>
        <w:spacing w:line="600" w:lineRule="exact"/>
        <w:ind w:left="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6.1乙方应在签合同之日起</w:t>
      </w:r>
      <w:r>
        <w:rPr>
          <w:rFonts w:hint="eastAsia" w:ascii="仿宋_GB2312" w:hAnsi="仿宋_GB2312" w:eastAsia="仿宋_GB2312" w:cs="仿宋_GB2312"/>
          <w:b/>
          <w:sz w:val="28"/>
          <w:szCs w:val="28"/>
          <w:u w:val="single"/>
        </w:rPr>
        <w:t>**</w:t>
      </w:r>
      <w:r>
        <w:rPr>
          <w:rFonts w:hint="eastAsia" w:ascii="仿宋_GB2312" w:hAnsi="仿宋_GB2312" w:eastAsia="仿宋_GB2312" w:cs="仿宋_GB2312"/>
          <w:sz w:val="28"/>
          <w:szCs w:val="28"/>
        </w:rPr>
        <w:t>日内交货且完成安装调试。</w:t>
      </w:r>
    </w:p>
    <w:p>
      <w:pPr>
        <w:keepNext w:val="0"/>
        <w:keepLines w:val="0"/>
        <w:pageBreakBefore w:val="0"/>
        <w:widowControl/>
        <w:kinsoku/>
        <w:wordWrap/>
        <w:overflowPunct/>
        <w:topLinePunct w:val="0"/>
        <w:autoSpaceDE/>
        <w:autoSpaceDN/>
        <w:bidi w:val="0"/>
        <w:adjustRightInd/>
        <w:snapToGrid/>
        <w:spacing w:line="600" w:lineRule="exact"/>
        <w:ind w:left="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6.2交货地点：赣州市人民医院指定地点。</w:t>
      </w:r>
    </w:p>
    <w:p>
      <w:pPr>
        <w:keepNext w:val="0"/>
        <w:keepLines w:val="0"/>
        <w:pageBreakBefore w:val="0"/>
        <w:widowControl/>
        <w:kinsoku/>
        <w:wordWrap/>
        <w:overflowPunct/>
        <w:topLinePunct w:val="0"/>
        <w:autoSpaceDE/>
        <w:autoSpaceDN/>
        <w:bidi w:val="0"/>
        <w:adjustRightInd/>
        <w:snapToGrid/>
        <w:spacing w:line="600" w:lineRule="exact"/>
        <w:ind w:left="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7、验收标准</w:t>
      </w:r>
    </w:p>
    <w:p>
      <w:pPr>
        <w:keepNext w:val="0"/>
        <w:keepLines w:val="0"/>
        <w:pageBreakBefore w:val="0"/>
        <w:widowControl/>
        <w:kinsoku/>
        <w:wordWrap/>
        <w:overflowPunct/>
        <w:topLinePunct w:val="0"/>
        <w:autoSpaceDE/>
        <w:autoSpaceDN/>
        <w:bidi w:val="0"/>
        <w:adjustRightInd/>
        <w:snapToGrid/>
        <w:spacing w:line="600" w:lineRule="exact"/>
        <w:ind w:left="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7.1设备的到货验收包括：型号、规格、数量、外观质量、及包装是否完好等。乙方交付的货物应当完全符合本合同或者采购文件所规定的型号、数量和规格等要求。</w:t>
      </w:r>
    </w:p>
    <w:p>
      <w:pPr>
        <w:keepNext w:val="0"/>
        <w:keepLines w:val="0"/>
        <w:pageBreakBefore w:val="0"/>
        <w:widowControl/>
        <w:kinsoku/>
        <w:wordWrap/>
        <w:overflowPunct/>
        <w:topLinePunct w:val="0"/>
        <w:autoSpaceDE/>
        <w:autoSpaceDN/>
        <w:bidi w:val="0"/>
        <w:adjustRightInd/>
        <w:snapToGrid/>
        <w:spacing w:line="600" w:lineRule="exact"/>
        <w:ind w:left="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7.2合同生效后，乙方应将每台设备和仪器的中文技术资料一套，如目录索引、图纸、技术说明书、操作手册、使用指南、合格证等技术资料在验收时一并交给甲方。</w:t>
      </w:r>
      <w:r>
        <w:rPr>
          <w:rFonts w:hint="eastAsia" w:ascii="仿宋_GB2312" w:hAnsi="仿宋_GB2312" w:eastAsia="仿宋_GB2312" w:cs="仿宋_GB2312"/>
          <w:b/>
          <w:bCs/>
          <w:sz w:val="28"/>
          <w:szCs w:val="28"/>
        </w:rPr>
        <w:t>技术说明书、操作手册应同时提供电子版交给甲方。</w:t>
      </w:r>
      <w:r>
        <w:rPr>
          <w:rFonts w:hint="eastAsia" w:ascii="仿宋_GB2312" w:hAnsi="仿宋_GB2312" w:eastAsia="仿宋_GB2312" w:cs="仿宋_GB2312"/>
          <w:sz w:val="28"/>
          <w:szCs w:val="28"/>
        </w:rPr>
        <w:t>若乙方未将上述资料交与甲方，视为乙方供应的设备仪器来源不合法，甲方有权拒收并由乙方承担合同总额20%的违约责任。甲方有权要求乙方重新提供设备仪器，也有权决定终止合同的履行。</w:t>
      </w:r>
    </w:p>
    <w:p>
      <w:pPr>
        <w:keepNext w:val="0"/>
        <w:keepLines w:val="0"/>
        <w:pageBreakBefore w:val="0"/>
        <w:widowControl/>
        <w:kinsoku/>
        <w:wordWrap/>
        <w:overflowPunct/>
        <w:topLinePunct w:val="0"/>
        <w:autoSpaceDE/>
        <w:autoSpaceDN/>
        <w:bidi w:val="0"/>
        <w:adjustRightInd/>
        <w:snapToGrid/>
        <w:spacing w:line="600" w:lineRule="exact"/>
        <w:ind w:left="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8、伴随服务／售后服务：</w:t>
      </w:r>
    </w:p>
    <w:p>
      <w:pPr>
        <w:keepNext w:val="0"/>
        <w:keepLines w:val="0"/>
        <w:pageBreakBefore w:val="0"/>
        <w:widowControl/>
        <w:kinsoku/>
        <w:wordWrap/>
        <w:overflowPunct/>
        <w:topLinePunct w:val="0"/>
        <w:autoSpaceDE/>
        <w:autoSpaceDN/>
        <w:bidi w:val="0"/>
        <w:adjustRightInd/>
        <w:snapToGrid/>
        <w:spacing w:line="600" w:lineRule="exact"/>
        <w:ind w:left="0"/>
        <w:textAlignment w:val="auto"/>
        <w:rPr>
          <w:rFonts w:ascii="仿宋_GB2312" w:hAnsi="仿宋_GB2312" w:eastAsia="仿宋_GB2312" w:cs="仿宋_GB2312"/>
          <w:b/>
          <w:sz w:val="28"/>
          <w:szCs w:val="28"/>
        </w:rPr>
      </w:pPr>
      <w:r>
        <w:rPr>
          <w:rFonts w:hint="eastAsia" w:ascii="仿宋_GB2312" w:hAnsi="仿宋_GB2312" w:eastAsia="仿宋_GB2312" w:cs="仿宋_GB2312"/>
          <w:sz w:val="28"/>
          <w:szCs w:val="28"/>
        </w:rPr>
        <w:t>8.1从验收合格之日起，乙方免费提供</w:t>
      </w:r>
      <w:r>
        <w:rPr>
          <w:rFonts w:hint="eastAsia" w:ascii="仿宋_GB2312" w:hAnsi="仿宋_GB2312" w:eastAsia="仿宋_GB2312" w:cs="仿宋_GB2312"/>
          <w:b/>
          <w:sz w:val="28"/>
          <w:szCs w:val="28"/>
          <w:u w:val="single"/>
        </w:rPr>
        <w:t>**个月</w:t>
      </w:r>
      <w:r>
        <w:rPr>
          <w:rFonts w:hint="eastAsia" w:ascii="仿宋_GB2312" w:hAnsi="仿宋_GB2312" w:eastAsia="仿宋_GB2312" w:cs="仿宋_GB2312"/>
          <w:sz w:val="28"/>
          <w:szCs w:val="28"/>
        </w:rPr>
        <w:t>保修期，保修期内如有无法解决的故障，免费更换或退货处理，保修期满后终身维修。乙方接到报修后</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sz w:val="28"/>
          <w:szCs w:val="28"/>
        </w:rPr>
        <w:t>响应，</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sz w:val="28"/>
          <w:szCs w:val="28"/>
        </w:rPr>
        <w:t>小时内到现场解决故障。</w:t>
      </w:r>
      <w:r>
        <w:rPr>
          <w:rFonts w:hint="eastAsia" w:ascii="仿宋_GB2312" w:hAnsi="仿宋_GB2312" w:eastAsia="仿宋_GB2312" w:cs="仿宋_GB2312"/>
          <w:b/>
          <w:sz w:val="28"/>
          <w:szCs w:val="28"/>
        </w:rPr>
        <w:t>售后服务电话：******</w:t>
      </w:r>
    </w:p>
    <w:p>
      <w:pPr>
        <w:keepNext w:val="0"/>
        <w:keepLines w:val="0"/>
        <w:pageBreakBefore w:val="0"/>
        <w:widowControl/>
        <w:kinsoku/>
        <w:wordWrap/>
        <w:overflowPunct/>
        <w:topLinePunct w:val="0"/>
        <w:autoSpaceDE/>
        <w:autoSpaceDN/>
        <w:bidi w:val="0"/>
        <w:adjustRightInd/>
        <w:snapToGrid/>
        <w:spacing w:line="600" w:lineRule="exact"/>
        <w:ind w:left="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8.2乙方除应按照国家有关法律法规规章和“三包”规定提供服务外，还应提供下列服务：（1）货物的现场安装、调试和启动监督；（2）就货物的安装、启动、运行及维护等对甲方人员进行培训。</w:t>
      </w:r>
    </w:p>
    <w:p>
      <w:pPr>
        <w:keepNext w:val="0"/>
        <w:keepLines w:val="0"/>
        <w:pageBreakBefore w:val="0"/>
        <w:widowControl/>
        <w:kinsoku/>
        <w:wordWrap/>
        <w:overflowPunct/>
        <w:topLinePunct w:val="0"/>
        <w:autoSpaceDE/>
        <w:autoSpaceDN/>
        <w:bidi w:val="0"/>
        <w:adjustRightInd/>
        <w:snapToGrid/>
        <w:spacing w:line="600" w:lineRule="exact"/>
        <w:ind w:left="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sz w:val="28"/>
          <w:szCs w:val="28"/>
        </w:rPr>
        <w:t>8.3乙方安排有资质的工程师为甲方提供培训服务（工程师资持材料需提供给甲方备案），直至该货物可以正常使用并且操作人员能熟练操作为止。主要培训内容为货物的基本结构、性能、主要部件的构造及处理，日常使用操作、保养与管理、常见故障的排除、紧急情况的处理等，如甲方未使用过同类型货物，乙方还需就货物的功能对甲方人员进行相应的技术培训。技术培训时需准备培训内容的电子演示文稿（PPT），并制定培训后相关人员的考核试题。培训结束后将资料一并交给甲方。</w:t>
      </w:r>
    </w:p>
    <w:p>
      <w:pPr>
        <w:keepNext w:val="0"/>
        <w:keepLines w:val="0"/>
        <w:pageBreakBefore w:val="0"/>
        <w:widowControl/>
        <w:kinsoku/>
        <w:wordWrap/>
        <w:overflowPunct/>
        <w:topLinePunct w:val="0"/>
        <w:autoSpaceDE/>
        <w:autoSpaceDN/>
        <w:bidi w:val="0"/>
        <w:adjustRightInd/>
        <w:snapToGrid/>
        <w:spacing w:line="600" w:lineRule="exact"/>
        <w:ind w:left="0"/>
        <w:textAlignment w:val="auto"/>
        <w:rPr>
          <w:rFonts w:ascii="仿宋" w:hAnsi="仿宋" w:eastAsia="仿宋" w:cs="仿宋"/>
          <w:color w:val="auto"/>
          <w:sz w:val="28"/>
          <w:szCs w:val="28"/>
          <w:highlight w:val="none"/>
        </w:rPr>
      </w:pPr>
      <w:r>
        <w:rPr>
          <w:rFonts w:hint="eastAsia" w:ascii="仿宋_GB2312" w:hAnsi="仿宋_GB2312" w:eastAsia="仿宋_GB2312" w:cs="仿宋_GB2312"/>
          <w:color w:val="auto"/>
          <w:sz w:val="28"/>
          <w:szCs w:val="28"/>
          <w:highlight w:val="none"/>
        </w:rPr>
        <w:t>9、</w:t>
      </w:r>
      <w:r>
        <w:rPr>
          <w:rFonts w:hint="eastAsia" w:ascii="仿宋" w:hAnsi="仿宋" w:eastAsia="仿宋" w:cs="仿宋"/>
          <w:color w:val="auto"/>
          <w:sz w:val="28"/>
          <w:szCs w:val="28"/>
          <w:highlight w:val="none"/>
        </w:rPr>
        <w:t>违约责任：</w:t>
      </w:r>
    </w:p>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9.1 交货违约：9.1如果乙方没有按照合同规定的时间供货或提供服务，甲方可从货款中扣除违约赔偿费，赔偿费应按每迟交一天，按合同总价的2‰计收，不足1天超过12小时按一天计算。但违约赔偿费的最高限额为合同总价的10%。如果乙方在达到最高限额后仍不能提供服务，甲方可以单方面终止合同，没收履约保证金，并要求供应商赔偿采购人损失。</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9.2 质保违约：</w:t>
      </w:r>
      <w:r>
        <w:rPr>
          <w:rFonts w:hint="eastAsia" w:ascii="仿宋" w:hAnsi="仿宋" w:eastAsia="仿宋" w:cs="仿宋"/>
          <w:color w:val="auto"/>
          <w:kern w:val="2"/>
          <w:sz w:val="28"/>
          <w:szCs w:val="28"/>
          <w:highlight w:val="none"/>
        </w:rPr>
        <w:t>如果备件/设备发生故障，乙方须在响应文件中承诺的时间内到达甲方处提供服务，“实际达到时间”每超过“承诺应到时间”24小时，扣除履约保证金5%，以此类推。</w:t>
      </w:r>
    </w:p>
    <w:p>
      <w:pPr>
        <w:keepNext w:val="0"/>
        <w:keepLines w:val="0"/>
        <w:pageBreakBefore w:val="0"/>
        <w:widowControl/>
        <w:kinsoku/>
        <w:wordWrap/>
        <w:overflowPunct/>
        <w:topLinePunct w:val="0"/>
        <w:autoSpaceDE/>
        <w:autoSpaceDN/>
        <w:bidi w:val="0"/>
        <w:adjustRightInd/>
        <w:snapToGrid/>
        <w:spacing w:line="600" w:lineRule="exact"/>
        <w:ind w:left="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10、特别约定：</w:t>
      </w:r>
    </w:p>
    <w:p>
      <w:pPr>
        <w:keepNext w:val="0"/>
        <w:keepLines w:val="0"/>
        <w:pageBreakBefore w:val="0"/>
        <w:widowControl/>
        <w:kinsoku/>
        <w:wordWrap/>
        <w:overflowPunct/>
        <w:topLinePunct w:val="0"/>
        <w:autoSpaceDE/>
        <w:autoSpaceDN/>
        <w:bidi w:val="0"/>
        <w:adjustRightInd/>
        <w:snapToGrid/>
        <w:spacing w:line="600" w:lineRule="exact"/>
        <w:ind w:left="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30"/>
          <w:szCs w:val="30"/>
          <w:highlight w:val="none"/>
        </w:rPr>
        <w:t>1、如果中标人超过3次未能按时提供备件或服务，或1次超过15天未能按时提供备件或服务，采购人有权利终止合同，并没收履约保证金，顺延与下一个中标候选人签订供货协议。</w:t>
      </w:r>
    </w:p>
    <w:p>
      <w:pPr>
        <w:keepNext w:val="0"/>
        <w:keepLines w:val="0"/>
        <w:pageBreakBefore w:val="0"/>
        <w:widowControl/>
        <w:kinsoku/>
        <w:wordWrap/>
        <w:overflowPunct/>
        <w:topLinePunct w:val="0"/>
        <w:autoSpaceDE/>
        <w:autoSpaceDN/>
        <w:bidi w:val="0"/>
        <w:adjustRightInd/>
        <w:snapToGrid/>
        <w:spacing w:line="600" w:lineRule="exact"/>
        <w:ind w:left="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甲方有权对乙方所供应产品进行检验，若检验结果不符合行业通行标准、厂方出厂标准以及本招标（谈判）文件的要求，甲方将退回所有货物并提出索赔要求，没收履约保证金，且不予支付任何费用，所有责任由乙方承担。</w:t>
      </w:r>
    </w:p>
    <w:p>
      <w:pPr>
        <w:keepNext w:val="0"/>
        <w:keepLines w:val="0"/>
        <w:pageBreakBefore w:val="0"/>
        <w:widowControl/>
        <w:kinsoku/>
        <w:wordWrap/>
        <w:overflowPunct/>
        <w:topLinePunct w:val="0"/>
        <w:autoSpaceDE/>
        <w:autoSpaceDN/>
        <w:bidi w:val="0"/>
        <w:adjustRightInd/>
        <w:snapToGrid/>
        <w:spacing w:line="600" w:lineRule="exact"/>
        <w:ind w:left="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11、合同生效：本合同在甲方收取乙方提交的履约保证金，且经甲乙双方签字盖章后生效。</w:t>
      </w:r>
    </w:p>
    <w:p>
      <w:pPr>
        <w:keepNext w:val="0"/>
        <w:keepLines w:val="0"/>
        <w:pageBreakBefore w:val="0"/>
        <w:widowControl/>
        <w:kinsoku/>
        <w:wordWrap/>
        <w:overflowPunct/>
        <w:topLinePunct w:val="0"/>
        <w:autoSpaceDE/>
        <w:autoSpaceDN/>
        <w:bidi w:val="0"/>
        <w:adjustRightInd/>
        <w:snapToGrid/>
        <w:spacing w:line="600" w:lineRule="exact"/>
        <w:ind w:left="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12、本合同一式伍份，以中文书写。甲方四份，乙方一份，具有同等法律效力。</w:t>
      </w:r>
    </w:p>
    <w:p>
      <w:pPr>
        <w:keepNext w:val="0"/>
        <w:keepLines w:val="0"/>
        <w:pageBreakBefore w:val="0"/>
        <w:widowControl/>
        <w:kinsoku/>
        <w:wordWrap/>
        <w:overflowPunct/>
        <w:topLinePunct w:val="0"/>
        <w:autoSpaceDE/>
        <w:autoSpaceDN/>
        <w:bidi w:val="0"/>
        <w:adjustRightInd/>
        <w:snapToGrid/>
        <w:spacing w:line="600" w:lineRule="exact"/>
        <w:ind w:left="0" w:hanging="280" w:hangingChars="100"/>
        <w:jc w:val="lef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13、本协议未尽事宜双方协商解决，协商不成可向甲方所在地的人民法院诉讼。甲方（盖章）：赣州市人民医院乙方（盖章）：*********</w:t>
      </w:r>
    </w:p>
    <w:p>
      <w:pPr>
        <w:keepNext w:val="0"/>
        <w:keepLines w:val="0"/>
        <w:pageBreakBefore w:val="0"/>
        <w:widowControl/>
        <w:kinsoku/>
        <w:wordWrap/>
        <w:overflowPunct/>
        <w:topLinePunct w:val="0"/>
        <w:autoSpaceDE/>
        <w:autoSpaceDN/>
        <w:bidi w:val="0"/>
        <w:adjustRightInd/>
        <w:snapToGrid/>
        <w:spacing w:line="600" w:lineRule="exact"/>
        <w:ind w:left="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法人授权代表签字 ：法定代表人</w:t>
      </w:r>
    </w:p>
    <w:p>
      <w:pPr>
        <w:keepNext w:val="0"/>
        <w:keepLines w:val="0"/>
        <w:pageBreakBefore w:val="0"/>
        <w:widowControl/>
        <w:kinsoku/>
        <w:wordWrap/>
        <w:overflowPunct/>
        <w:topLinePunct w:val="0"/>
        <w:autoSpaceDE/>
        <w:autoSpaceDN/>
        <w:bidi w:val="0"/>
        <w:adjustRightInd/>
        <w:snapToGrid/>
        <w:spacing w:line="600" w:lineRule="exact"/>
        <w:ind w:left="0" w:firstLine="4480" w:firstLineChars="1600"/>
        <w:textAlignment w:val="auto"/>
        <w:rPr>
          <w:rFonts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28"/>
          <w:szCs w:val="28"/>
          <w:highlight w:val="none"/>
        </w:rPr>
        <w:t>（或法人授权代表）签字</w:t>
      </w:r>
      <w:r>
        <w:rPr>
          <w:rFonts w:hint="eastAsia" w:ascii="仿宋_GB2312" w:hAnsi="仿宋_GB2312" w:eastAsia="仿宋_GB2312" w:cs="仿宋_GB2312"/>
          <w:color w:val="auto"/>
          <w:sz w:val="24"/>
          <w:szCs w:val="28"/>
          <w:highlight w:val="none"/>
        </w:rPr>
        <w:t>：</w:t>
      </w:r>
    </w:p>
    <w:p>
      <w:pPr>
        <w:keepNext w:val="0"/>
        <w:keepLines w:val="0"/>
        <w:pageBreakBefore w:val="0"/>
        <w:widowControl/>
        <w:kinsoku/>
        <w:wordWrap/>
        <w:overflowPunct/>
        <w:topLinePunct w:val="0"/>
        <w:autoSpaceDE/>
        <w:autoSpaceDN/>
        <w:bidi w:val="0"/>
        <w:adjustRightInd/>
        <w:snapToGrid/>
        <w:spacing w:line="600" w:lineRule="exact"/>
        <w:ind w:left="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甲方纳税人识别号：乙方开户行：***************</w:t>
      </w:r>
    </w:p>
    <w:p>
      <w:pPr>
        <w:keepNext w:val="0"/>
        <w:keepLines w:val="0"/>
        <w:pageBreakBefore w:val="0"/>
        <w:widowControl/>
        <w:kinsoku/>
        <w:wordWrap/>
        <w:overflowPunct/>
        <w:topLinePunct w:val="0"/>
        <w:autoSpaceDE/>
        <w:autoSpaceDN/>
        <w:bidi w:val="0"/>
        <w:adjustRightInd/>
        <w:snapToGrid/>
        <w:spacing w:line="600" w:lineRule="exact"/>
        <w:ind w:left="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123607004917506816</w:t>
      </w:r>
      <w:r>
        <w:rPr>
          <w:rFonts w:hint="eastAsia" w:ascii="仿宋_GB2312" w:hAnsi="仿宋_GB2312" w:eastAsia="仿宋_GB2312" w:cs="仿宋_GB2312"/>
          <w:color w:val="auto"/>
          <w:sz w:val="28"/>
          <w:szCs w:val="28"/>
          <w:highlight w:val="none"/>
        </w:rPr>
        <w:t xml:space="preserve">            账号：******</w:t>
      </w:r>
    </w:p>
    <w:p>
      <w:pPr>
        <w:keepNext w:val="0"/>
        <w:keepLines w:val="0"/>
        <w:pageBreakBefore w:val="0"/>
        <w:widowControl/>
        <w:kinsoku/>
        <w:wordWrap/>
        <w:overflowPunct/>
        <w:topLinePunct w:val="0"/>
        <w:autoSpaceDE/>
        <w:autoSpaceDN/>
        <w:bidi w:val="0"/>
        <w:adjustRightInd/>
        <w:snapToGrid/>
        <w:spacing w:line="600" w:lineRule="exact"/>
        <w:ind w:left="0"/>
        <w:textAlignment w:val="auto"/>
        <w:rPr>
          <w:rFonts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rPr>
        <w:t>签字日期：    年  月  日        签字日期</w:t>
      </w:r>
      <w:r>
        <w:rPr>
          <w:rFonts w:hint="eastAsia" w:ascii="仿宋_GB2312" w:hAnsi="仿宋_GB2312" w:eastAsia="仿宋_GB2312" w:cs="仿宋_GB2312"/>
          <w:sz w:val="28"/>
          <w:szCs w:val="28"/>
        </w:rPr>
        <w:t>：    年  月  日</w:t>
      </w:r>
    </w:p>
    <w:p>
      <w:pPr>
        <w:widowControl/>
        <w:spacing w:line="480" w:lineRule="auto"/>
        <w:rPr>
          <w:rFonts w:ascii="仿宋_GB2312" w:hAnsi="仿宋_GB2312" w:eastAsia="仿宋_GB2312" w:cs="仿宋_GB2312"/>
          <w:sz w:val="28"/>
          <w:szCs w:val="28"/>
        </w:rPr>
      </w:pPr>
    </w:p>
    <w:p>
      <w:pPr>
        <w:spacing w:line="440" w:lineRule="exact"/>
        <w:rPr>
          <w:rFonts w:asciiTheme="minorEastAsia" w:hAnsiTheme="minorEastAsia" w:eastAsiaTheme="minorEastAsia"/>
          <w:b/>
          <w:bCs/>
          <w:sz w:val="24"/>
          <w:szCs w:val="24"/>
        </w:rPr>
      </w:pPr>
      <w:r>
        <w:rPr>
          <w:rFonts w:hint="eastAsia"/>
          <w:b/>
          <w:sz w:val="32"/>
        </w:rPr>
        <w:t>附件  响应文件格式</w:t>
      </w:r>
      <w:bookmarkEnd w:id="19"/>
      <w:bookmarkEnd w:id="20"/>
      <w:bookmarkEnd w:id="21"/>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
      <w:pPr>
        <w:pStyle w:val="2"/>
        <w:spacing w:line="440" w:lineRule="atLeast"/>
        <w:rPr>
          <w:rFonts w:asciiTheme="minorEastAsia" w:hAnsiTheme="minorEastAsia" w:eastAsiaTheme="minorEastAsia"/>
          <w:b/>
          <w:sz w:val="24"/>
          <w:szCs w:val="24"/>
        </w:rPr>
      </w:pPr>
    </w:p>
    <w:p/>
    <w:p/>
    <w:p/>
    <w:p/>
    <w:p/>
    <w:p/>
    <w:p>
      <w:pPr>
        <w:spacing w:line="440" w:lineRule="atLeast"/>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谈判响应文件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项目名称：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项目编号：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ind w:firstLine="1820" w:firstLineChars="650"/>
        <w:rPr>
          <w:rFonts w:asciiTheme="minorEastAsia" w:hAnsiTheme="minorEastAsia" w:eastAsiaTheme="minorEastAsia"/>
          <w:sz w:val="24"/>
          <w:szCs w:val="24"/>
          <w:u w:val="single"/>
        </w:rPr>
      </w:pPr>
      <w:r>
        <w:rPr>
          <w:rFonts w:hint="eastAsia" w:ascii="宋体" w:hAnsi="宋体"/>
          <w:sz w:val="28"/>
        </w:rPr>
        <w:t>品目号（如有请提供）：</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单位（签章）</w:t>
      </w: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w w:val="80"/>
          <w:sz w:val="24"/>
          <w:szCs w:val="24"/>
        </w:rPr>
        <w:sectPr>
          <w:footerReference r:id="rId9" w:type="first"/>
          <w:headerReference r:id="rId7" w:type="default"/>
          <w:footerReference r:id="rId8" w:type="default"/>
          <w:pgSz w:w="11907" w:h="16840"/>
          <w:pgMar w:top="1474" w:right="850" w:bottom="1474" w:left="1134" w:header="720" w:footer="720" w:gutter="0"/>
          <w:cols w:space="720" w:num="1"/>
          <w:docGrid w:linePitch="285" w:charSpace="0"/>
        </w:sectPr>
      </w:pPr>
      <w:r>
        <w:rPr>
          <w:rFonts w:hint="eastAsia" w:asciiTheme="minorEastAsia" w:hAnsiTheme="minorEastAsia" w:eastAsiaTheme="minorEastAsia"/>
          <w:sz w:val="24"/>
          <w:szCs w:val="24"/>
        </w:rPr>
        <w:t xml:space="preserve">    年   月   日</w:t>
      </w:r>
    </w:p>
    <w:p>
      <w:pPr>
        <w:pStyle w:val="2"/>
        <w:spacing w:before="240" w:after="240"/>
        <w:jc w:val="center"/>
        <w:rPr>
          <w:b/>
          <w:sz w:val="32"/>
        </w:rPr>
      </w:pPr>
      <w:bookmarkStart w:id="22" w:name="_Toc533775679"/>
      <w:r>
        <w:rPr>
          <w:rFonts w:hint="eastAsia"/>
          <w:b/>
          <w:sz w:val="32"/>
        </w:rPr>
        <w:t>1. 谈判响应书</w:t>
      </w:r>
      <w:bookmarkEnd w:id="22"/>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致：赣州市人民医院</w:t>
      </w:r>
    </w:p>
    <w:p>
      <w:pPr>
        <w:spacing w:line="440" w:lineRule="atLeas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项目名称</w:t>
      </w:r>
      <w:r>
        <w:rPr>
          <w:rFonts w:asciiTheme="minorEastAsia" w:hAnsiTheme="minorEastAsia" w:eastAsiaTheme="minorEastAsia"/>
          <w:i/>
          <w:sz w:val="24"/>
          <w:szCs w:val="24"/>
        </w:rPr>
        <w:t>)</w:t>
      </w:r>
      <w:r>
        <w:rPr>
          <w:rFonts w:hint="eastAsia" w:asciiTheme="minorEastAsia" w:hAnsiTheme="minorEastAsia" w:eastAsiaTheme="minorEastAsia"/>
          <w:sz w:val="24"/>
          <w:szCs w:val="24"/>
        </w:rPr>
        <w:t>项目谈判采购货物及有关服务的谈判邀请</w:t>
      </w:r>
      <w:r>
        <w:rPr>
          <w:rFonts w:hint="eastAsia" w:asciiTheme="minorEastAsia" w:hAnsiTheme="minorEastAsia" w:eastAsiaTheme="minorEastAsia"/>
          <w:i/>
          <w:sz w:val="24"/>
          <w:szCs w:val="24"/>
          <w:u w:val="single"/>
        </w:rPr>
        <w:t>(项目编号</w:t>
      </w:r>
      <w:r>
        <w:rPr>
          <w:rFonts w:asciiTheme="minorEastAsia" w:hAnsiTheme="minorEastAsia" w:eastAsiaTheme="minorEastAsia"/>
          <w:i/>
          <w:sz w:val="24"/>
          <w:szCs w:val="24"/>
          <w:u w:val="single"/>
        </w:rPr>
        <w:t>)</w:t>
      </w:r>
      <w:r>
        <w:rPr>
          <w:rFonts w:hint="eastAsia" w:asciiTheme="minorEastAsia" w:hAnsiTheme="minorEastAsia" w:eastAsiaTheme="minorEastAsia"/>
          <w:sz w:val="24"/>
          <w:szCs w:val="24"/>
        </w:rPr>
        <w:t>，签字代表</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姓名、职务</w:t>
      </w:r>
      <w:r>
        <w:rPr>
          <w:rFonts w:asciiTheme="minorEastAsia" w:hAnsiTheme="minorEastAsia" w:eastAsiaTheme="minorEastAsia"/>
          <w:i/>
          <w:sz w:val="24"/>
          <w:szCs w:val="24"/>
        </w:rPr>
        <w:t>)</w:t>
      </w:r>
      <w:r>
        <w:rPr>
          <w:rFonts w:hint="eastAsia" w:asciiTheme="minorEastAsia" w:hAnsiTheme="minorEastAsia" w:eastAsiaTheme="minorEastAsia"/>
          <w:sz w:val="24"/>
          <w:szCs w:val="24"/>
        </w:rPr>
        <w:t>经正式授权并代表我方</w:t>
      </w:r>
      <w:r>
        <w:rPr>
          <w:rFonts w:asciiTheme="minorEastAsia" w:hAnsiTheme="minorEastAsia" w:eastAsiaTheme="minorEastAsia"/>
          <w:i/>
          <w:sz w:val="24"/>
          <w:szCs w:val="24"/>
          <w:u w:val="single"/>
        </w:rPr>
        <w:t>(</w:t>
      </w:r>
      <w:r>
        <w:rPr>
          <w:rFonts w:hint="eastAsia" w:asciiTheme="minorEastAsia" w:hAnsiTheme="minorEastAsia" w:eastAsiaTheme="minorEastAsia"/>
          <w:i/>
          <w:sz w:val="24"/>
          <w:szCs w:val="24"/>
          <w:u w:val="single"/>
        </w:rPr>
        <w:t>单位名称、地址)</w:t>
      </w:r>
      <w:r>
        <w:rPr>
          <w:rFonts w:hint="eastAsia" w:asciiTheme="minorEastAsia" w:hAnsiTheme="minorEastAsia" w:eastAsiaTheme="minorEastAsia"/>
          <w:sz w:val="24"/>
          <w:szCs w:val="24"/>
        </w:rPr>
        <w:t>提交下述文件正本一份及副本一份</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分项报价表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技术响应表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商务响应表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按谈判文件供应商须知和技术规格要求提供的有关文件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资格、资信证明文件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7. </w:t>
      </w:r>
      <w:r>
        <w:rPr>
          <w:rFonts w:hint="eastAsia" w:asciiTheme="minorEastAsia" w:hAnsiTheme="minorEastAsia" w:eastAsiaTheme="minorEastAsia"/>
          <w:sz w:val="24"/>
          <w:szCs w:val="24"/>
        </w:rPr>
        <w:t>提交的谈判保证金，金额为。</w:t>
      </w:r>
    </w:p>
    <w:p>
      <w:pPr>
        <w:spacing w:line="440" w:lineRule="atLeast"/>
        <w:ind w:left="707" w:hanging="283"/>
        <w:rPr>
          <w:rFonts w:asciiTheme="minorEastAsia" w:hAnsiTheme="minorEastAsia" w:eastAsiaTheme="minorEastAsia"/>
          <w:sz w:val="24"/>
          <w:szCs w:val="24"/>
        </w:rPr>
      </w:pP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据此函</w:t>
      </w:r>
      <w:r>
        <w:rPr>
          <w:rFonts w:asciiTheme="minorEastAsia" w:hAnsiTheme="minorEastAsia" w:eastAsiaTheme="minorEastAsia"/>
          <w:sz w:val="24"/>
          <w:szCs w:val="24"/>
        </w:rPr>
        <w:t>,</w:t>
      </w:r>
      <w:r>
        <w:rPr>
          <w:rFonts w:hint="eastAsia" w:asciiTheme="minorEastAsia" w:hAnsiTheme="minorEastAsia" w:eastAsiaTheme="minorEastAsia"/>
          <w:sz w:val="24"/>
          <w:szCs w:val="24"/>
        </w:rPr>
        <w:t>签字代表宣布同意如下</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所附报价表中规定的应提交和交付的货物总价为（用文字和数字表示的总价</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我方将按谈判文件的规定履行合同责任和义务。</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我方已详细审查全部谈判文件，包括第</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编号、补遗函</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如果有的话</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我们完全理解并同意放弃对这方面有不明及误解的权力。</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本谈判有效期为自谈判之日起 </w:t>
      </w:r>
      <w:r>
        <w:rPr>
          <w:rFonts w:hint="eastAsia" w:asciiTheme="minorEastAsia" w:hAnsiTheme="minorEastAsia" w:eastAsiaTheme="minorEastAsia"/>
          <w:sz w:val="24"/>
          <w:szCs w:val="24"/>
          <w:u w:val="single"/>
        </w:rPr>
        <w:t xml:space="preserve">  90  </w:t>
      </w:r>
      <w:r>
        <w:rPr>
          <w:rFonts w:hint="eastAsia" w:asciiTheme="minorEastAsia" w:hAnsiTheme="minorEastAsia" w:eastAsiaTheme="minorEastAsia"/>
          <w:sz w:val="24"/>
          <w:szCs w:val="24"/>
        </w:rPr>
        <w:t>天。</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如果在规定的谈判时间后，我方在谈判有效期内撤回响应文件，谈判保证金不予退还。</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我方同意提供按照贵方可能要求的与其谈判有关的一切数据或资料。</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与本谈判有关的一切正式往来信函请寄</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地址                      传真</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电话                      电子邮件</w:t>
      </w:r>
    </w:p>
    <w:p>
      <w:pPr>
        <w:spacing w:line="440" w:lineRule="atLeast"/>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法定代表人或委托代理签字或签章： </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rPr>
        <w:sectPr>
          <w:footerReference r:id="rId10" w:type="default"/>
          <w:pgSz w:w="11907" w:h="16840"/>
          <w:pgMar w:top="1474" w:right="1134" w:bottom="1474" w:left="1134" w:header="720" w:footer="720" w:gutter="0"/>
          <w:cols w:space="720" w:num="1"/>
          <w:docGrid w:linePitch="285" w:charSpace="0"/>
        </w:sectPr>
      </w:pPr>
    </w:p>
    <w:p>
      <w:pPr>
        <w:pStyle w:val="2"/>
        <w:spacing w:before="240" w:after="240"/>
        <w:jc w:val="center"/>
        <w:rPr>
          <w:b/>
          <w:sz w:val="32"/>
        </w:rPr>
      </w:pPr>
      <w:bookmarkStart w:id="23" w:name="_Toc533775680"/>
      <w:r>
        <w:rPr>
          <w:rFonts w:hint="eastAsia"/>
          <w:b/>
          <w:sz w:val="32"/>
        </w:rPr>
        <w:t>2．报价表</w:t>
      </w:r>
      <w:bookmarkEnd w:id="23"/>
    </w:p>
    <w:p>
      <w:pPr>
        <w:spacing w:line="440" w:lineRule="atLeast"/>
        <w:jc w:val="center"/>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项目编号： </w:t>
      </w:r>
    </w:p>
    <w:tbl>
      <w:tblPr>
        <w:tblStyle w:val="18"/>
        <w:tblW w:w="1213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93"/>
        <w:gridCol w:w="1436"/>
        <w:gridCol w:w="2324"/>
        <w:gridCol w:w="908"/>
        <w:gridCol w:w="1078"/>
        <w:gridCol w:w="912"/>
        <w:gridCol w:w="1064"/>
        <w:gridCol w:w="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69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143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232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color w:val="FF0000"/>
                <w:sz w:val="24"/>
                <w:szCs w:val="24"/>
              </w:rPr>
              <w:t>单价整体折扣率</w:t>
            </w:r>
          </w:p>
        </w:tc>
        <w:tc>
          <w:tcPr>
            <w:tcW w:w="908" w:type="dxa"/>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报价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声明</w:t>
            </w:r>
          </w:p>
        </w:tc>
        <w:tc>
          <w:tcPr>
            <w:tcW w:w="107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谈判保证金</w:t>
            </w:r>
          </w:p>
        </w:tc>
        <w:tc>
          <w:tcPr>
            <w:tcW w:w="91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交货期</w:t>
            </w:r>
          </w:p>
        </w:tc>
        <w:tc>
          <w:tcPr>
            <w:tcW w:w="106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交货地点</w:t>
            </w:r>
          </w:p>
        </w:tc>
        <w:tc>
          <w:tcPr>
            <w:tcW w:w="89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p>
        </w:tc>
        <w:tc>
          <w:tcPr>
            <w:tcW w:w="2693" w:type="dxa"/>
            <w:vAlign w:val="center"/>
          </w:tcPr>
          <w:p>
            <w:pPr>
              <w:spacing w:line="440" w:lineRule="atLeast"/>
              <w:jc w:val="center"/>
              <w:rPr>
                <w:rFonts w:asciiTheme="minorEastAsia" w:hAnsiTheme="minorEastAsia" w:eastAsiaTheme="minorEastAsia"/>
                <w:sz w:val="24"/>
                <w:szCs w:val="24"/>
              </w:rPr>
            </w:pPr>
          </w:p>
        </w:tc>
        <w:tc>
          <w:tcPr>
            <w:tcW w:w="1436" w:type="dxa"/>
            <w:vAlign w:val="center"/>
          </w:tcPr>
          <w:p>
            <w:pPr>
              <w:spacing w:line="440" w:lineRule="atLeast"/>
              <w:jc w:val="center"/>
              <w:rPr>
                <w:rFonts w:asciiTheme="minorEastAsia" w:hAnsiTheme="minorEastAsia" w:eastAsiaTheme="minorEastAsia"/>
                <w:sz w:val="24"/>
                <w:szCs w:val="24"/>
              </w:rPr>
            </w:pPr>
          </w:p>
        </w:tc>
        <w:tc>
          <w:tcPr>
            <w:tcW w:w="2324" w:type="dxa"/>
            <w:vAlign w:val="center"/>
          </w:tcPr>
          <w:p>
            <w:pPr>
              <w:spacing w:line="440" w:lineRule="atLeast"/>
              <w:jc w:val="center"/>
              <w:rPr>
                <w:rFonts w:asciiTheme="minorEastAsia" w:hAnsiTheme="minorEastAsia" w:eastAsiaTheme="minorEastAsia"/>
                <w:sz w:val="24"/>
                <w:szCs w:val="24"/>
              </w:rPr>
            </w:pPr>
          </w:p>
        </w:tc>
        <w:tc>
          <w:tcPr>
            <w:tcW w:w="908" w:type="dxa"/>
            <w:vAlign w:val="center"/>
          </w:tcPr>
          <w:p>
            <w:pPr>
              <w:spacing w:line="440" w:lineRule="atLeast"/>
              <w:jc w:val="center"/>
              <w:rPr>
                <w:rFonts w:asciiTheme="minorEastAsia" w:hAnsiTheme="minorEastAsia" w:eastAsiaTheme="minorEastAsia"/>
                <w:sz w:val="24"/>
                <w:szCs w:val="24"/>
              </w:rPr>
            </w:pPr>
          </w:p>
        </w:tc>
        <w:tc>
          <w:tcPr>
            <w:tcW w:w="1078" w:type="dxa"/>
            <w:vAlign w:val="center"/>
          </w:tcPr>
          <w:p>
            <w:pPr>
              <w:spacing w:line="440" w:lineRule="atLeast"/>
              <w:jc w:val="center"/>
              <w:rPr>
                <w:rFonts w:asciiTheme="minorEastAsia" w:hAnsiTheme="minorEastAsia" w:eastAsiaTheme="minorEastAsia"/>
                <w:sz w:val="24"/>
                <w:szCs w:val="24"/>
              </w:rPr>
            </w:pPr>
          </w:p>
        </w:tc>
        <w:tc>
          <w:tcPr>
            <w:tcW w:w="912" w:type="dxa"/>
            <w:vAlign w:val="center"/>
          </w:tcPr>
          <w:p>
            <w:pPr>
              <w:spacing w:line="440" w:lineRule="atLeast"/>
              <w:jc w:val="center"/>
              <w:rPr>
                <w:rFonts w:asciiTheme="minorEastAsia" w:hAnsiTheme="minorEastAsia" w:eastAsiaTheme="minorEastAsia"/>
                <w:sz w:val="24"/>
                <w:szCs w:val="24"/>
              </w:rPr>
            </w:pPr>
          </w:p>
        </w:tc>
        <w:tc>
          <w:tcPr>
            <w:tcW w:w="1064" w:type="dxa"/>
            <w:vAlign w:val="center"/>
          </w:tcPr>
          <w:p>
            <w:pPr>
              <w:spacing w:line="440" w:lineRule="atLeast"/>
              <w:jc w:val="center"/>
              <w:rPr>
                <w:rFonts w:asciiTheme="minorEastAsia" w:hAnsiTheme="minorEastAsia" w:eastAsiaTheme="minorEastAsia"/>
                <w:sz w:val="24"/>
                <w:szCs w:val="24"/>
              </w:rPr>
            </w:pPr>
          </w:p>
        </w:tc>
        <w:tc>
          <w:tcPr>
            <w:tcW w:w="898" w:type="dxa"/>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before="240" w:line="440" w:lineRule="atLeast"/>
        <w:jc w:val="center"/>
        <w:rPr>
          <w:rFonts w:asciiTheme="minorEastAsia" w:hAnsiTheme="minorEastAsia" w:eastAsiaTheme="minorEastAsia"/>
          <w:sz w:val="24"/>
          <w:szCs w:val="24"/>
        </w:rPr>
        <w:sectPr>
          <w:footerReference r:id="rId11" w:type="default"/>
          <w:footerReference r:id="rId12" w:type="even"/>
          <w:pgSz w:w="16840" w:h="11907" w:orient="landscape"/>
          <w:pgMar w:top="1134" w:right="1474" w:bottom="1814" w:left="1474" w:header="720" w:footer="720" w:gutter="0"/>
          <w:cols w:space="720" w:num="1"/>
          <w:docGrid w:linePitch="285" w:charSpace="0"/>
        </w:sectPr>
      </w:pPr>
    </w:p>
    <w:p>
      <w:pPr>
        <w:pStyle w:val="2"/>
        <w:spacing w:before="240" w:after="240"/>
        <w:jc w:val="center"/>
        <w:rPr>
          <w:b/>
          <w:sz w:val="32"/>
        </w:rPr>
      </w:pPr>
      <w:bookmarkStart w:id="24" w:name="_Toc533775681"/>
      <w:r>
        <w:rPr>
          <w:rFonts w:hint="eastAsia"/>
          <w:b/>
          <w:sz w:val="32"/>
        </w:rPr>
        <w:t>3．分项报价表</w:t>
      </w:r>
      <w:bookmarkEnd w:id="24"/>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供应商名称：                                项目编号：</w:t>
      </w:r>
    </w:p>
    <w:tbl>
      <w:tblPr>
        <w:tblStyle w:val="18"/>
        <w:tblW w:w="1416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683"/>
        <w:gridCol w:w="2057"/>
        <w:gridCol w:w="1680"/>
        <w:gridCol w:w="1245"/>
        <w:gridCol w:w="1500"/>
        <w:gridCol w:w="1620"/>
        <w:gridCol w:w="165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68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205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制造商、品牌</w:t>
            </w:r>
          </w:p>
        </w:tc>
        <w:tc>
          <w:tcPr>
            <w:tcW w:w="168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规格、型号</w:t>
            </w:r>
          </w:p>
        </w:tc>
        <w:tc>
          <w:tcPr>
            <w:tcW w:w="124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产地</w:t>
            </w:r>
          </w:p>
        </w:tc>
        <w:tc>
          <w:tcPr>
            <w:tcW w:w="150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（元）</w:t>
            </w:r>
          </w:p>
        </w:tc>
        <w:tc>
          <w:tcPr>
            <w:tcW w:w="165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总价（元）</w:t>
            </w:r>
          </w:p>
        </w:tc>
        <w:tc>
          <w:tcPr>
            <w:tcW w:w="189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160" w:type="dxa"/>
            <w:gridSpan w:val="9"/>
            <w:vAlign w:val="center"/>
          </w:tcPr>
          <w:p>
            <w:pPr>
              <w:spacing w:line="440" w:lineRule="atLeas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合计：（大写）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sectPr>
          <w:pgSz w:w="16840" w:h="11907" w:orient="landscape"/>
          <w:pgMar w:top="1134" w:right="1474" w:bottom="1814" w:left="1474" w:header="720" w:footer="720" w:gutter="0"/>
          <w:cols w:space="720" w:num="1"/>
          <w:docGrid w:linePitch="285" w:charSpace="0"/>
        </w:sect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5" w:name="_Toc533775682"/>
      <w:r>
        <w:rPr>
          <w:rFonts w:hint="eastAsia"/>
          <w:b/>
          <w:sz w:val="32"/>
        </w:rPr>
        <w:t>4</w:t>
      </w:r>
      <w:r>
        <w:rPr>
          <w:b/>
          <w:sz w:val="32"/>
        </w:rPr>
        <w:t>.</w:t>
      </w:r>
      <w:r>
        <w:rPr>
          <w:rFonts w:hint="eastAsia"/>
          <w:b/>
          <w:sz w:val="32"/>
        </w:rPr>
        <w:t xml:space="preserve"> 技术规格响应/偏离表</w:t>
      </w:r>
      <w:bookmarkEnd w:id="25"/>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项目编号：</w:t>
      </w:r>
    </w:p>
    <w:tbl>
      <w:tblPr>
        <w:tblStyle w:val="18"/>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234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谈判文件技术规格</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响应文件技术规格</w:t>
            </w:r>
          </w:p>
        </w:tc>
        <w:tc>
          <w:tcPr>
            <w:tcW w:w="9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22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2、响应/偏离内容为包括但不限于采购需求中的内容。</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6" w:name="_Toc533775683"/>
      <w:r>
        <w:rPr>
          <w:rFonts w:hint="eastAsia"/>
          <w:b/>
          <w:sz w:val="32"/>
        </w:rPr>
        <w:t>5</w:t>
      </w:r>
      <w:r>
        <w:rPr>
          <w:b/>
          <w:sz w:val="32"/>
        </w:rPr>
        <w:t>.</w:t>
      </w:r>
      <w:r>
        <w:rPr>
          <w:rFonts w:hint="eastAsia"/>
          <w:b/>
          <w:sz w:val="32"/>
        </w:rPr>
        <w:t xml:space="preserve"> 商务条款响应/偏离表</w:t>
      </w:r>
      <w:bookmarkEnd w:id="26"/>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p>
    <w:tbl>
      <w:tblPr>
        <w:tblStyle w:val="18"/>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谈判文件的商务条款</w:t>
            </w:r>
          </w:p>
        </w:tc>
        <w:tc>
          <w:tcPr>
            <w:tcW w:w="181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响应文件的商务条款</w:t>
            </w:r>
          </w:p>
        </w:tc>
        <w:tc>
          <w:tcPr>
            <w:tcW w:w="112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2、商务条款包括交货期、付款方式、质保期、验收及售后服务等内容；</w:t>
      </w:r>
    </w:p>
    <w:p>
      <w:pPr>
        <w:spacing w:afterLines="50"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7" w:name="_Toc533775684"/>
      <w:r>
        <w:rPr>
          <w:rFonts w:hint="eastAsia"/>
          <w:b/>
          <w:sz w:val="32"/>
        </w:rPr>
        <w:t>6</w:t>
      </w:r>
      <w:r>
        <w:rPr>
          <w:b/>
          <w:sz w:val="32"/>
        </w:rPr>
        <w:t>.</w:t>
      </w:r>
      <w:r>
        <w:rPr>
          <w:rFonts w:hint="eastAsia"/>
          <w:b/>
          <w:sz w:val="32"/>
        </w:rPr>
        <w:t xml:space="preserve"> 其他证明资料</w:t>
      </w:r>
      <w:bookmarkEnd w:id="27"/>
    </w:p>
    <w:p>
      <w:pPr>
        <w:pStyle w:val="3"/>
        <w:spacing w:before="0" w:after="0" w:line="440" w:lineRule="atLeast"/>
        <w:jc w:val="center"/>
        <w:rPr>
          <w:rFonts w:asciiTheme="minorEastAsia" w:hAnsiTheme="minorEastAsia" w:eastAsiaTheme="minorEastAsia"/>
          <w:sz w:val="24"/>
          <w:szCs w:val="24"/>
        </w:rPr>
      </w:pPr>
    </w:p>
    <w:p>
      <w:pPr>
        <w:widowControl/>
        <w:spacing w:before="240" w:line="440" w:lineRule="atLeast"/>
        <w:jc w:val="center"/>
        <w:rPr>
          <w:rFonts w:asciiTheme="minorEastAsia" w:hAnsiTheme="minorEastAsia" w:eastAsiaTheme="minorEastAsia"/>
          <w:b/>
          <w:sz w:val="24"/>
          <w:szCs w:val="24"/>
        </w:rPr>
      </w:pPr>
      <w:bookmarkStart w:id="28" w:name="_Toc475970091"/>
      <w:r>
        <w:rPr>
          <w:rFonts w:hint="eastAsia" w:asciiTheme="minorEastAsia" w:hAnsiTheme="minorEastAsia" w:eastAsiaTheme="minorEastAsia"/>
          <w:b/>
          <w:sz w:val="24"/>
          <w:szCs w:val="24"/>
        </w:rPr>
        <w:t>格式6-1. 供应商情况一览表</w:t>
      </w:r>
      <w:bookmarkEnd w:id="28"/>
    </w:p>
    <w:p>
      <w:pPr>
        <w:spacing w:line="440" w:lineRule="atLeast"/>
        <w:jc w:val="center"/>
        <w:rPr>
          <w:rFonts w:asciiTheme="minorEastAsia" w:hAnsiTheme="minorEastAsia" w:eastAsiaTheme="minorEastAsia"/>
          <w:sz w:val="24"/>
          <w:szCs w:val="24"/>
        </w:rPr>
      </w:pPr>
    </w:p>
    <w:tbl>
      <w:tblPr>
        <w:tblStyle w:val="18"/>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696"/>
        <w:gridCol w:w="502"/>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注册地址</w:t>
            </w:r>
          </w:p>
        </w:tc>
        <w:tc>
          <w:tcPr>
            <w:tcW w:w="3929" w:type="dxa"/>
            <w:gridSpan w:val="4"/>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continue"/>
            <w:vAlign w:val="center"/>
          </w:tcPr>
          <w:p>
            <w:pPr>
              <w:spacing w:line="440" w:lineRule="atLeast"/>
              <w:jc w:val="center"/>
              <w:rPr>
                <w:rFonts w:asciiTheme="minorEastAsia" w:hAnsiTheme="minorEastAsia" w:eastAsiaTheme="minorEastAsia"/>
                <w:sz w:val="24"/>
                <w:szCs w:val="24"/>
              </w:rPr>
            </w:pP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传  真</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网址/邮箱</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企业性质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4754" w:type="dxa"/>
            <w:gridSpan w:val="5"/>
            <w:vAlign w:val="center"/>
          </w:tcPr>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营业执照号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w:t>
            </w: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注册资金</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初级职称人员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银行账号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技工</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28"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经营范围备注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widowControl/>
        <w:spacing w:before="240" w:line="440" w:lineRule="atLeast"/>
        <w:jc w:val="center"/>
        <w:rPr>
          <w:rFonts w:asciiTheme="minorEastAsia" w:hAnsiTheme="minorEastAsia" w:eastAsiaTheme="minorEastAsia"/>
          <w:b/>
          <w:sz w:val="24"/>
          <w:szCs w:val="24"/>
        </w:rPr>
      </w:pPr>
      <w:r>
        <w:rPr>
          <w:rFonts w:asciiTheme="minorEastAsia" w:hAnsiTheme="minorEastAsia" w:eastAsiaTheme="minorEastAsia"/>
          <w:sz w:val="24"/>
          <w:szCs w:val="24"/>
        </w:rPr>
        <w:br w:type="page"/>
      </w:r>
      <w:bookmarkStart w:id="29" w:name="_Toc475970092"/>
      <w:bookmarkStart w:id="30" w:name="_Toc461116134"/>
      <w:r>
        <w:rPr>
          <w:rFonts w:hint="eastAsia" w:asciiTheme="minorEastAsia" w:hAnsiTheme="minorEastAsia" w:eastAsiaTheme="minorEastAsia"/>
          <w:b/>
          <w:sz w:val="24"/>
          <w:szCs w:val="24"/>
        </w:rPr>
        <w:t>格式6-2</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近年完成的类似项目情况表</w:t>
      </w:r>
      <w:bookmarkEnd w:id="29"/>
      <w:bookmarkEnd w:id="30"/>
    </w:p>
    <w:p>
      <w:pPr>
        <w:spacing w:line="440" w:lineRule="atLeast"/>
        <w:jc w:val="center"/>
        <w:rPr>
          <w:rFonts w:asciiTheme="minorEastAsia" w:hAnsiTheme="minorEastAsia" w:eastAsiaTheme="minorEastAsia"/>
          <w:sz w:val="24"/>
          <w:szCs w:val="24"/>
        </w:rPr>
      </w:pPr>
    </w:p>
    <w:tbl>
      <w:tblPr>
        <w:tblStyle w:val="18"/>
        <w:tblW w:w="9648"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56"/>
        <w:gridCol w:w="70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采购人名称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合同价格</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交付日期</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4"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7092" w:type="dxa"/>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jc w:val="center"/>
        <w:rPr>
          <w:rFonts w:asciiTheme="minorEastAsia" w:hAnsiTheme="minorEastAsia" w:eastAsiaTheme="minorEastAsia"/>
          <w:b/>
          <w:bCs/>
          <w:sz w:val="24"/>
          <w:szCs w:val="24"/>
        </w:rPr>
      </w:pPr>
    </w:p>
    <w:p>
      <w:pPr>
        <w:pStyle w:val="3"/>
        <w:spacing w:before="0" w:after="0" w:line="440" w:lineRule="atLeast"/>
        <w:jc w:val="center"/>
        <w:rPr>
          <w:rFonts w:asciiTheme="minorEastAsia" w:hAnsiTheme="minorEastAsia" w:eastAsiaTheme="minorEastAsia"/>
          <w:sz w:val="24"/>
          <w:szCs w:val="24"/>
        </w:rPr>
      </w:pP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2"/>
        <w:spacing w:before="240" w:after="240"/>
        <w:jc w:val="center"/>
        <w:rPr>
          <w:b/>
          <w:sz w:val="32"/>
        </w:rPr>
      </w:pPr>
      <w:bookmarkStart w:id="31" w:name="_Toc533775686"/>
      <w:r>
        <w:rPr>
          <w:rFonts w:hint="eastAsia"/>
          <w:b/>
          <w:sz w:val="32"/>
        </w:rPr>
        <w:t>7</w:t>
      </w:r>
      <w:r>
        <w:rPr>
          <w:b/>
          <w:sz w:val="32"/>
        </w:rPr>
        <w:t>.</w:t>
      </w:r>
      <w:r>
        <w:rPr>
          <w:rFonts w:hint="eastAsia"/>
          <w:b/>
          <w:sz w:val="32"/>
        </w:rPr>
        <w:t>技术文件</w:t>
      </w:r>
      <w:bookmarkEnd w:id="31"/>
    </w:p>
    <w:p>
      <w:pPr>
        <w:spacing w:before="240" w:line="440" w:lineRule="atLeast"/>
        <w:jc w:val="center"/>
        <w:rPr>
          <w:rFonts w:asciiTheme="minorEastAsia" w:hAnsiTheme="minorEastAsia" w:eastAsiaTheme="minorEastAsia"/>
          <w:b/>
          <w:sz w:val="28"/>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内容包括：</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1、货物的技术规格与功能的详细说明</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2、主要外购件、配套件的型号规格和制造商明细表</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3、标准附件、备品备件和专用工具等</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4、供应商认为需要说明的其他内容（供应商视需要自行编写）</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rPr>
        <w:sectPr>
          <w:footerReference r:id="rId13" w:type="default"/>
          <w:pgSz w:w="11906" w:h="16838"/>
          <w:pgMar w:top="1418" w:right="1247" w:bottom="1418" w:left="1814" w:header="851" w:footer="992" w:gutter="0"/>
          <w:cols w:space="425" w:num="1"/>
          <w:docGrid w:type="lines" w:linePitch="312" w:charSpace="0"/>
        </w:sectPr>
      </w:pPr>
    </w:p>
    <w:p>
      <w:pPr>
        <w:pStyle w:val="2"/>
        <w:spacing w:before="240" w:after="240"/>
        <w:jc w:val="center"/>
        <w:rPr>
          <w:b/>
          <w:sz w:val="32"/>
        </w:rPr>
      </w:pPr>
      <w:bookmarkStart w:id="32" w:name="_Toc293934829"/>
      <w:bookmarkStart w:id="33" w:name="_Toc533775687"/>
      <w:r>
        <w:rPr>
          <w:rFonts w:hint="eastAsia"/>
          <w:b/>
          <w:sz w:val="32"/>
        </w:rPr>
        <w:t>8</w:t>
      </w:r>
      <w:r>
        <w:rPr>
          <w:b/>
          <w:sz w:val="32"/>
        </w:rPr>
        <w:t>.</w:t>
      </w:r>
      <w:bookmarkEnd w:id="32"/>
      <w:r>
        <w:rPr>
          <w:rFonts w:hint="eastAsia"/>
          <w:b/>
          <w:sz w:val="32"/>
        </w:rPr>
        <w:t>供应商应当提交的资格、资信证明文件</w:t>
      </w:r>
      <w:bookmarkEnd w:id="33"/>
    </w:p>
    <w:p>
      <w:pPr>
        <w:spacing w:line="440" w:lineRule="atLeast"/>
        <w:rPr>
          <w:rFonts w:asciiTheme="minorEastAsia" w:hAnsiTheme="minorEastAsia" w:eastAsiaTheme="minorEastAsia"/>
          <w:strike/>
          <w:sz w:val="24"/>
          <w:szCs w:val="24"/>
        </w:rPr>
      </w:pPr>
    </w:p>
    <w:p>
      <w:p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填写须知：</w:t>
      </w:r>
    </w:p>
    <w:p>
      <w:pPr>
        <w:numPr>
          <w:ilvl w:val="0"/>
          <w:numId w:val="3"/>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供应商应填写和提交下述规定的资格证明文件。复印件均须加盖公章；</w:t>
      </w:r>
    </w:p>
    <w:p>
      <w:pPr>
        <w:numPr>
          <w:ilvl w:val="0"/>
          <w:numId w:val="3"/>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所附格式中要求填写的全部内容都必须如实填写；</w:t>
      </w:r>
    </w:p>
    <w:p>
      <w:pPr>
        <w:numPr>
          <w:ilvl w:val="0"/>
          <w:numId w:val="3"/>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本资格声明的签字人应保证全部声明和填写的内容是真实的和正确的；</w:t>
      </w:r>
    </w:p>
    <w:p>
      <w:pPr>
        <w:numPr>
          <w:ilvl w:val="0"/>
          <w:numId w:val="3"/>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谈判小组将应用供应商提交的资料，根据自己的判断和考虑决定供应商履行合同的合格性及能力。</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如供应商是企业的（包括合伙企业）应提供有效的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企业法人营业执照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或</w:t>
      </w:r>
      <w:r>
        <w:rPr>
          <w:rFonts w:asciiTheme="minorEastAsia" w:hAnsiTheme="minorEastAsia" w:eastAsiaTheme="minorEastAsia"/>
          <w:sz w:val="24"/>
          <w:szCs w:val="24"/>
        </w:rPr>
        <w:t>“</w:t>
      </w:r>
      <w:r>
        <w:rPr>
          <w:rFonts w:hint="eastAsia" w:asciiTheme="minorEastAsia" w:hAnsiTheme="minorEastAsia" w:eastAsiaTheme="minorEastAsia"/>
          <w:sz w:val="24"/>
          <w:szCs w:val="24"/>
        </w:rPr>
        <w:t>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；如供应商是事业单位的应提供</w:t>
      </w:r>
      <w:r>
        <w:rPr>
          <w:rFonts w:asciiTheme="minorEastAsia" w:hAnsiTheme="minorEastAsia" w:eastAsiaTheme="minorEastAsia"/>
          <w:sz w:val="24"/>
          <w:szCs w:val="24"/>
        </w:rPr>
        <w:t>“</w:t>
      </w:r>
      <w:r>
        <w:rPr>
          <w:rFonts w:hint="eastAsia" w:asciiTheme="minorEastAsia" w:hAnsiTheme="minorEastAsia" w:eastAsiaTheme="minorEastAsia"/>
          <w:sz w:val="24"/>
          <w:szCs w:val="24"/>
        </w:rPr>
        <w:t>事业单位法人证书</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；如供应商是非企业专业服务机构的应提供执业许可证等证明文件；供应商是个体工商户的应提供有效的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个体工商户营业执照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、组织机构代码证证明文件（实行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的不需单独提供组织机构代码证）；如供应商是自然人的，应提供有效的自然人的身份证明</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中国公民</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8-2.具有履行合同所必须的设备和专业技术能力的证明文件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供应商提供具有履行合同所必须的设备和专业技术能力的承诺函；（见格式）</w:t>
      </w:r>
    </w:p>
    <w:p>
      <w:pPr>
        <w:widowControl/>
        <w:spacing w:before="240" w:line="440" w:lineRule="atLeas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8-3.有依法缴纳税收和社会保障资金的良好记录的证明文件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税务登记证（实行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的不需单独提供）和谈判前六个月内任意一个月的企业缴税凭证或证明；</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在经营活动中没有重大违法记录的证明文件 </w:t>
      </w:r>
    </w:p>
    <w:p>
      <w:pPr>
        <w:spacing w:line="400" w:lineRule="atLeast"/>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参加采购前三年内</w:t>
      </w:r>
      <w:r>
        <w:rPr>
          <w:rFonts w:asciiTheme="minorEastAsia" w:hAnsiTheme="minorEastAsia" w:eastAsiaTheme="minorEastAsia"/>
          <w:sz w:val="24"/>
          <w:szCs w:val="24"/>
        </w:rPr>
        <w:t>,</w:t>
      </w:r>
      <w:r>
        <w:rPr>
          <w:rFonts w:hint="eastAsia" w:asciiTheme="minorEastAsia" w:hAnsiTheme="minorEastAsia" w:eastAsiaTheme="minor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hAnsiTheme="minorEastAsia" w:eastAsiaTheme="minorEastAsia"/>
          <w:b/>
          <w:bCs/>
          <w:sz w:val="24"/>
          <w:szCs w:val="24"/>
        </w:rPr>
        <w:br w:type="page"/>
      </w:r>
    </w:p>
    <w:p>
      <w:pPr>
        <w:widowControl/>
        <w:spacing w:before="240" w:line="440" w:lineRule="atLeast"/>
        <w:ind w:firstLine="1299" w:firstLineChars="539"/>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8-2.</w:t>
      </w:r>
      <w:r>
        <w:rPr>
          <w:rFonts w:asciiTheme="minorEastAsia" w:hAnsiTheme="minorEastAsia" w:eastAsiaTheme="minorEastAsia"/>
          <w:b/>
          <w:sz w:val="24"/>
          <w:szCs w:val="24"/>
        </w:rPr>
        <w:t>具备履行合同所必需的设备和专业技术能力的承诺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本公司（或单位）具备本项目履行合同所必需的设备和专业技术能力，特此承诺。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before="240" w:line="440" w:lineRule="atLeast"/>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8-3.有依法缴纳税收和社会保障资金的良好记录的证明文件</w:t>
      </w: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在经营活动中没有重大违法记录的</w:t>
      </w:r>
      <w:r>
        <w:rPr>
          <w:rFonts w:asciiTheme="minorEastAsia" w:hAnsiTheme="minorEastAsia" w:eastAsiaTheme="minorEastAsia"/>
          <w:b/>
          <w:sz w:val="24"/>
          <w:szCs w:val="24"/>
        </w:rPr>
        <w:t>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autoSpaceDE w:val="0"/>
        <w:autoSpaceDN w:val="0"/>
        <w:adjustRightInd w:val="0"/>
        <w:spacing w:line="440" w:lineRule="atLeast"/>
        <w:ind w:firstLine="720" w:firstLineChars="300"/>
        <w:jc w:val="left"/>
        <w:rPr>
          <w:rFonts w:asciiTheme="minorEastAsia" w:hAnsiTheme="minorEastAsia" w:eastAsiaTheme="minorEastAsia"/>
          <w:sz w:val="24"/>
          <w:szCs w:val="24"/>
        </w:rPr>
      </w:pPr>
      <w:r>
        <w:rPr>
          <w:rFonts w:asciiTheme="minorEastAsia" w:hAnsiTheme="minorEastAsia" w:eastAsiaTheme="minorEastAsia"/>
          <w:sz w:val="24"/>
          <w:szCs w:val="24"/>
        </w:rPr>
        <w:t>本公司（或单位）</w:t>
      </w:r>
      <w:r>
        <w:rPr>
          <w:rFonts w:cs="华文楷体" w:asciiTheme="minorEastAsia" w:hAnsiTheme="minorEastAsia" w:eastAsiaTheme="minorEastAsia"/>
          <w:kern w:val="0"/>
          <w:sz w:val="24"/>
          <w:szCs w:val="24"/>
        </w:rPr>
        <w:t>在该项目</w:t>
      </w:r>
      <w:r>
        <w:rPr>
          <w:rFonts w:hint="eastAsia" w:cs="华文楷体" w:asciiTheme="minorEastAsia" w:hAnsiTheme="minorEastAsia" w:eastAsiaTheme="minorEastAsia"/>
          <w:kern w:val="0"/>
          <w:sz w:val="24"/>
          <w:szCs w:val="24"/>
        </w:rPr>
        <w:t>响应文件递交</w:t>
      </w:r>
      <w:r>
        <w:rPr>
          <w:rFonts w:cs="华文楷体" w:asciiTheme="minorEastAsia" w:hAnsiTheme="minorEastAsia" w:eastAsiaTheme="minorEastAsia"/>
          <w:kern w:val="0"/>
          <w:sz w:val="24"/>
          <w:szCs w:val="24"/>
        </w:rPr>
        <w:t>截止日前三年内，在经营活动中没有重大违法记录，即没有因违法经营受到刑事处罚或者责令停产停业、吊销许可证或者执照、较大数额罚款等行政处罚</w:t>
      </w:r>
      <w:r>
        <w:rPr>
          <w:rFonts w:hint="eastAsia" w:cs="华文楷体" w:asciiTheme="minorEastAsia" w:hAnsiTheme="minorEastAsia" w:eastAsiaTheme="minorEastAsia"/>
          <w:kern w:val="0"/>
          <w:sz w:val="24"/>
          <w:szCs w:val="24"/>
        </w:rPr>
        <w:t>，</w:t>
      </w:r>
      <w:r>
        <w:rPr>
          <w:rFonts w:asciiTheme="minorEastAsia" w:hAnsiTheme="minorEastAsia" w:eastAsiaTheme="minorEastAsia"/>
          <w:sz w:val="24"/>
          <w:szCs w:val="24"/>
        </w:rPr>
        <w:t>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u w:val="single"/>
        </w:rPr>
      </w:pPr>
    </w:p>
    <w:p>
      <w:pPr>
        <w:widowControl/>
        <w:spacing w:line="440" w:lineRule="atLeast"/>
        <w:jc w:val="left"/>
        <w:rPr>
          <w:rFonts w:asciiTheme="minorEastAsia" w:hAnsiTheme="minorEastAsia" w:eastAsiaTheme="minorEastAsia"/>
          <w:b/>
          <w:bCs/>
          <w:sz w:val="24"/>
          <w:szCs w:val="24"/>
        </w:rPr>
      </w:pPr>
    </w:p>
    <w:p>
      <w:pPr>
        <w:widowControl/>
        <w:spacing w:before="240" w:line="440" w:lineRule="atLeast"/>
        <w:jc w:val="center"/>
        <w:rPr>
          <w:rFonts w:asciiTheme="minorEastAsia" w:hAnsiTheme="minorEastAsia" w:eastAsiaTheme="minorEastAsia"/>
          <w:b/>
          <w:sz w:val="24"/>
          <w:szCs w:val="24"/>
        </w:rPr>
        <w:sectPr>
          <w:footerReference r:id="rId14" w:type="default"/>
          <w:footerReference r:id="rId15" w:type="even"/>
          <w:pgSz w:w="11906" w:h="16838"/>
          <w:pgMar w:top="1418" w:right="1361" w:bottom="1361" w:left="1701" w:header="851" w:footer="992" w:gutter="0"/>
          <w:cols w:space="425" w:num="1"/>
          <w:docGrid w:linePitch="312" w:charSpace="0"/>
        </w:sect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格式8-5.法定代表人授权书</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（供应商全称）法定代表人授权（全权代表姓名）为全权代表</w:t>
      </w:r>
      <w:r>
        <w:rPr>
          <w:rFonts w:asciiTheme="minorEastAsia" w:hAnsiTheme="minorEastAsia" w:eastAsiaTheme="minorEastAsia"/>
          <w:sz w:val="24"/>
          <w:szCs w:val="24"/>
        </w:rPr>
        <w:t>,</w:t>
      </w:r>
      <w:r>
        <w:rPr>
          <w:rFonts w:hint="eastAsia" w:asciiTheme="minorEastAsia" w:hAnsiTheme="minorEastAsia" w:eastAsiaTheme="minorEastAsia"/>
          <w:sz w:val="24"/>
          <w:szCs w:val="24"/>
        </w:rPr>
        <w:t>参加贵处组织的（项目编号）项目谈判活动，全权代表我方处理谈判活动中的一切事宜。</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全权代表姓名：</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职务：</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详细通讯地址：</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tabs>
          <w:tab w:val="left" w:pos="1470"/>
        </w:tabs>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附：全权代表身份证复印件（正、反面）</w:t>
      </w:r>
    </w:p>
    <w:p>
      <w:pPr>
        <w:tabs>
          <w:tab w:val="left" w:pos="1470"/>
        </w:tabs>
        <w:spacing w:line="440" w:lineRule="atLeast"/>
        <w:rPr>
          <w:rFonts w:asciiTheme="minorEastAsia" w:hAnsiTheme="minorEastAsia" w:eastAsiaTheme="minorEastAsia"/>
          <w:b/>
          <w:sz w:val="24"/>
          <w:szCs w:val="24"/>
        </w:rPr>
        <w:sectPr>
          <w:pgSz w:w="11906" w:h="16838"/>
          <w:pgMar w:top="1418" w:right="1361" w:bottom="1361" w:left="1701" w:header="851" w:footer="992" w:gutter="0"/>
          <w:cols w:space="425" w:num="1"/>
          <w:docGrid w:linePitch="312" w:charSpace="0"/>
        </w:sectPr>
      </w:pPr>
      <w:r>
        <w:rPr>
          <w:rFonts w:hint="eastAsia" w:asciiTheme="minorEastAsia" w:hAnsiTheme="minorEastAsia" w:eastAsiaTheme="minorEastAsia"/>
          <w:b/>
          <w:sz w:val="24"/>
          <w:szCs w:val="24"/>
        </w:rPr>
        <w:t>说明：法定代表人参加采购，不用提供委托（授权）书</w:t>
      </w:r>
    </w:p>
    <w:p>
      <w:pPr>
        <w:widowControl/>
        <w:spacing w:before="240" w:line="440" w:lineRule="atLeast"/>
        <w:jc w:val="center"/>
        <w:rPr>
          <w:rFonts w:asciiTheme="minorEastAsia" w:hAnsiTheme="minorEastAsia" w:eastAsiaTheme="minorEastAsia"/>
          <w:b/>
          <w:sz w:val="24"/>
          <w:szCs w:val="24"/>
        </w:rPr>
      </w:pPr>
      <w:bookmarkStart w:id="34" w:name="_Toc262628298"/>
      <w:bookmarkStart w:id="35" w:name="_Toc262628299"/>
      <w:r>
        <w:rPr>
          <w:rFonts w:hint="eastAsia" w:asciiTheme="minorEastAsia" w:hAnsiTheme="minorEastAsia" w:eastAsiaTheme="minorEastAsia"/>
          <w:b/>
          <w:sz w:val="24"/>
          <w:szCs w:val="24"/>
        </w:rPr>
        <w:t>格式8-6.供应商的资格声明</w:t>
      </w:r>
      <w:bookmarkEnd w:id="34"/>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（供参考格式）</w:t>
      </w: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left="2" w:firstLine="476" w:firstLineChars="202"/>
        <w:rPr>
          <w:rFonts w:asciiTheme="minorEastAsia" w:hAnsiTheme="minorEastAsia" w:eastAsiaTheme="minorEastAsia"/>
          <w:spacing w:val="-2"/>
          <w:sz w:val="24"/>
          <w:szCs w:val="24"/>
        </w:rPr>
      </w:pPr>
    </w:p>
    <w:p>
      <w:pPr>
        <w:spacing w:line="440" w:lineRule="atLeast"/>
        <w:ind w:left="2" w:firstLine="476" w:firstLineChars="202"/>
        <w:rPr>
          <w:rFonts w:asciiTheme="minorEastAsia" w:hAnsiTheme="minorEastAsia" w:eastAsiaTheme="minorEastAsia"/>
          <w:sz w:val="24"/>
          <w:szCs w:val="24"/>
        </w:rPr>
      </w:pPr>
      <w:r>
        <w:rPr>
          <w:rFonts w:asciiTheme="minorEastAsia" w:hAnsiTheme="minorEastAsia" w:eastAsiaTheme="minorEastAsia"/>
          <w:spacing w:val="-2"/>
          <w:sz w:val="24"/>
          <w:szCs w:val="24"/>
        </w:rPr>
        <w:t>为响应</w:t>
      </w:r>
      <w:r>
        <w:rPr>
          <w:rFonts w:hint="eastAsia" w:asciiTheme="minorEastAsia" w:hAnsiTheme="minorEastAsia" w:eastAsiaTheme="minorEastAsia"/>
          <w:spacing w:val="-2"/>
          <w:sz w:val="24"/>
          <w:szCs w:val="24"/>
        </w:rPr>
        <w:t>贵</w:t>
      </w:r>
      <w:r>
        <w:rPr>
          <w:rFonts w:asciiTheme="minorEastAsia" w:hAnsiTheme="minorEastAsia" w:eastAsiaTheme="minorEastAsia"/>
          <w:spacing w:val="-2"/>
          <w:sz w:val="24"/>
          <w:szCs w:val="24"/>
        </w:rPr>
        <w:t>方</w:t>
      </w:r>
      <w:r>
        <w:rPr>
          <w:rFonts w:hint="eastAsia" w:asciiTheme="minorEastAsia" w:hAnsiTheme="minorEastAsia" w:eastAsiaTheme="minorEastAsia"/>
          <w:i/>
          <w:spacing w:val="-2"/>
          <w:sz w:val="24"/>
          <w:szCs w:val="24"/>
          <w:u w:val="single"/>
        </w:rPr>
        <w:t>（项目名称、项目编号）</w:t>
      </w:r>
      <w:r>
        <w:rPr>
          <w:rFonts w:hint="eastAsia" w:asciiTheme="minorEastAsia" w:hAnsiTheme="minorEastAsia" w:eastAsiaTheme="minorEastAsia"/>
          <w:spacing w:val="-2"/>
          <w:sz w:val="24"/>
          <w:szCs w:val="24"/>
        </w:rPr>
        <w:t>谈判邀请</w:t>
      </w:r>
      <w:r>
        <w:rPr>
          <w:rFonts w:asciiTheme="minorEastAsia" w:hAnsiTheme="minorEastAsia" w:eastAsiaTheme="minorEastAsia"/>
          <w:spacing w:val="-2"/>
          <w:sz w:val="24"/>
          <w:szCs w:val="24"/>
        </w:rPr>
        <w:t>，下述签字人愿参与</w:t>
      </w:r>
      <w:r>
        <w:rPr>
          <w:rFonts w:hint="eastAsia" w:asciiTheme="minorEastAsia" w:hAnsiTheme="minorEastAsia" w:eastAsiaTheme="minorEastAsia"/>
          <w:spacing w:val="-2"/>
          <w:sz w:val="24"/>
          <w:szCs w:val="24"/>
        </w:rPr>
        <w:t>谈判</w:t>
      </w:r>
      <w:r>
        <w:rPr>
          <w:rFonts w:asciiTheme="minorEastAsia" w:hAnsiTheme="minorEastAsia" w:eastAsiaTheme="minorEastAsia"/>
          <w:spacing w:val="-2"/>
          <w:sz w:val="24"/>
          <w:szCs w:val="24"/>
        </w:rPr>
        <w:t>，提供</w:t>
      </w:r>
      <w:r>
        <w:rPr>
          <w:rFonts w:hint="eastAsia" w:asciiTheme="minorEastAsia" w:hAnsiTheme="minorEastAsia" w:eastAsiaTheme="minorEastAsia"/>
          <w:spacing w:val="-2"/>
          <w:sz w:val="24"/>
          <w:szCs w:val="24"/>
        </w:rPr>
        <w:t>采购</w:t>
      </w:r>
      <w:r>
        <w:rPr>
          <w:rFonts w:asciiTheme="minorEastAsia" w:hAnsiTheme="minorEastAsia" w:eastAsiaTheme="minorEastAsia"/>
          <w:spacing w:val="-2"/>
          <w:sz w:val="24"/>
          <w:szCs w:val="24"/>
        </w:rPr>
        <w:t>需求一览表</w:t>
      </w:r>
      <w:r>
        <w:rPr>
          <w:rFonts w:hint="eastAsia" w:asciiTheme="minorEastAsia" w:hAnsiTheme="minorEastAsia" w:eastAsiaTheme="minorEastAsia"/>
          <w:spacing w:val="-2"/>
          <w:sz w:val="24"/>
          <w:szCs w:val="24"/>
        </w:rPr>
        <w:t>和技术要求</w:t>
      </w:r>
      <w:r>
        <w:rPr>
          <w:rFonts w:asciiTheme="minorEastAsia" w:hAnsiTheme="minorEastAsia" w:eastAsiaTheme="minorEastAsia"/>
          <w:sz w:val="24"/>
          <w:szCs w:val="24"/>
        </w:rPr>
        <w:t>规定的</w:t>
      </w:r>
      <w:r>
        <w:rPr>
          <w:rFonts w:hint="eastAsia" w:asciiTheme="minorEastAsia" w:hAnsiTheme="minorEastAsia" w:eastAsiaTheme="minorEastAsia"/>
          <w:sz w:val="24"/>
          <w:szCs w:val="24"/>
        </w:rPr>
        <w:t>货物和有关服务</w:t>
      </w:r>
      <w:r>
        <w:rPr>
          <w:rFonts w:hint="eastAsia" w:asciiTheme="minorEastAsia" w:hAnsiTheme="minorEastAsia" w:eastAsiaTheme="minorEastAsia"/>
          <w:spacing w:val="-2"/>
          <w:sz w:val="24"/>
          <w:szCs w:val="24"/>
        </w:rPr>
        <w:t>，</w:t>
      </w:r>
      <w:r>
        <w:rPr>
          <w:rFonts w:asciiTheme="minorEastAsia" w:hAnsiTheme="minorEastAsia" w:eastAsiaTheme="minorEastAsia"/>
          <w:spacing w:val="-2"/>
          <w:sz w:val="24"/>
          <w:szCs w:val="24"/>
        </w:rPr>
        <w:t>提交下述文件并声明全</w:t>
      </w:r>
      <w:r>
        <w:rPr>
          <w:rFonts w:asciiTheme="minorEastAsia" w:hAnsiTheme="minorEastAsia" w:eastAsiaTheme="minorEastAsia"/>
          <w:sz w:val="24"/>
          <w:szCs w:val="24"/>
        </w:rPr>
        <w:t>部说明是真实的和正确的。</w:t>
      </w:r>
    </w:p>
    <w:p>
      <w:pPr>
        <w:spacing w:line="440" w:lineRule="atLeast"/>
        <w:ind w:left="462"/>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我方的资格声明正本一份</w:t>
      </w:r>
      <w:r>
        <w:rPr>
          <w:rFonts w:hint="eastAsia" w:asciiTheme="minorEastAsia" w:hAnsiTheme="minorEastAsia" w:eastAsiaTheme="minorEastAsia"/>
          <w:sz w:val="24"/>
          <w:szCs w:val="24"/>
        </w:rPr>
        <w:t>。</w:t>
      </w:r>
    </w:p>
    <w:p>
      <w:pPr>
        <w:spacing w:line="440" w:lineRule="atLeast"/>
        <w:ind w:left="959" w:leftChars="228"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下述签字人在证书中证明</w:t>
      </w:r>
      <w:r>
        <w:rPr>
          <w:rFonts w:hint="eastAsia" w:asciiTheme="minorEastAsia" w:hAnsiTheme="minorEastAsia" w:eastAsiaTheme="minorEastAsia"/>
          <w:sz w:val="24"/>
          <w:szCs w:val="24"/>
        </w:rPr>
        <w:t>本</w:t>
      </w:r>
      <w:r>
        <w:rPr>
          <w:rFonts w:asciiTheme="minorEastAsia" w:hAnsiTheme="minorEastAsia" w:eastAsiaTheme="minorEastAsia"/>
          <w:sz w:val="24"/>
          <w:szCs w:val="24"/>
        </w:rPr>
        <w:t>资格文件中的内容是真实的和正确的。</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bookmarkEnd w:id="35"/>
    <w:p>
      <w:pPr>
        <w:tabs>
          <w:tab w:val="left" w:pos="1470"/>
        </w:tabs>
        <w:spacing w:line="440" w:lineRule="atLeast"/>
        <w:rPr>
          <w:rFonts w:asciiTheme="minorEastAsia" w:hAnsiTheme="minorEastAsia" w:eastAsiaTheme="minorEastAsia"/>
          <w:sz w:val="24"/>
          <w:szCs w:val="24"/>
          <w:u w:val="single"/>
        </w:rPr>
        <w:sectPr>
          <w:pgSz w:w="11906" w:h="16838"/>
          <w:pgMar w:top="1418" w:right="1247" w:bottom="1418" w:left="1814" w:header="851" w:footer="992" w:gutter="0"/>
          <w:cols w:space="425" w:num="1"/>
          <w:docGrid w:type="lines" w:linePitch="312" w:charSpace="0"/>
        </w:sectPr>
      </w:pPr>
    </w:p>
    <w:p>
      <w:pPr>
        <w:widowControl/>
        <w:spacing w:line="440" w:lineRule="atLeast"/>
        <w:jc w:val="left"/>
        <w:rPr>
          <w:rFonts w:asciiTheme="minorEastAsia" w:hAnsiTheme="minorEastAsia" w:eastAsiaTheme="minorEastAsia"/>
          <w:sz w:val="24"/>
          <w:szCs w:val="24"/>
        </w:rPr>
      </w:pPr>
    </w:p>
    <w:p>
      <w:pPr>
        <w:widowControl/>
        <w:spacing w:line="440" w:lineRule="atLeast"/>
        <w:jc w:val="center"/>
        <w:rPr>
          <w:rFonts w:asciiTheme="minorEastAsia" w:hAnsiTheme="minorEastAsia" w:eastAsiaTheme="minorEastAsia"/>
          <w:b/>
          <w:sz w:val="24"/>
          <w:szCs w:val="24"/>
        </w:rPr>
      </w:pPr>
      <w:bookmarkStart w:id="36" w:name="_Toc499477458"/>
      <w:bookmarkStart w:id="37" w:name="_Toc495487764"/>
      <w:r>
        <w:rPr>
          <w:rFonts w:hint="eastAsia" w:asciiTheme="minorEastAsia" w:hAnsiTheme="minorEastAsia" w:eastAsiaTheme="minorEastAsia"/>
          <w:b/>
          <w:sz w:val="24"/>
          <w:szCs w:val="24"/>
        </w:rPr>
        <w:t>8-7.其他资格证明文件</w:t>
      </w:r>
      <w:bookmarkEnd w:id="36"/>
      <w:bookmarkEnd w:id="37"/>
    </w:p>
    <w:p>
      <w:pPr>
        <w:widowControl/>
        <w:spacing w:line="440" w:lineRule="atLeast"/>
        <w:jc w:val="center"/>
        <w:rPr>
          <w:rFonts w:asciiTheme="minorEastAsia" w:hAnsiTheme="minorEastAsia" w:eastAsiaTheme="minorEastAsia"/>
          <w:b/>
          <w:sz w:val="24"/>
          <w:szCs w:val="24"/>
        </w:rPr>
      </w:pPr>
    </w:p>
    <w:p>
      <w:pPr>
        <w:spacing w:before="240" w:line="440" w:lineRule="atLeast"/>
        <w:ind w:firstLine="3021" w:firstLineChars="1254"/>
        <w:rPr>
          <w:rFonts w:asciiTheme="minorEastAsia" w:hAnsiTheme="minorEastAsia" w:eastAsiaTheme="minorEastAsia"/>
          <w:b/>
          <w:sz w:val="24"/>
          <w:szCs w:val="24"/>
        </w:rPr>
      </w:pPr>
    </w:p>
    <w:p/>
    <w:sectPr>
      <w:footerReference r:id="rId16" w:type="default"/>
      <w:pgSz w:w="11906" w:h="16838"/>
      <w:pgMar w:top="1440" w:right="1418" w:bottom="1440" w:left="1418"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 共 </w:t>
                          </w:r>
                          <w:r>
                            <w:fldChar w:fldCharType="begin"/>
                          </w:r>
                          <w:r>
                            <w:instrText xml:space="preserve"> NUMPAGES  \* MERGEFORMAT </w:instrText>
                          </w:r>
                          <w:r>
                            <w:fldChar w:fldCharType="separate"/>
                          </w:r>
                          <w:r>
                            <w:t>32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41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12"/>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 共 </w:t>
                    </w:r>
                    <w:r>
                      <w:fldChar w:fldCharType="begin"/>
                    </w:r>
                    <w:r>
                      <w:instrText xml:space="preserve"> NUMPAGES  \* MERGEFORMAT </w:instrText>
                    </w:r>
                    <w:r>
                      <w:fldChar w:fldCharType="separate"/>
                    </w:r>
                    <w:r>
                      <w:t>32</w:t>
                    </w:r>
                    <w:r>
                      <w:fldChar w:fldCharType="end"/>
                    </w:r>
                    <w:r>
                      <w:rPr>
                        <w:rFonts w:hint="eastAsia"/>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rPr>
                            <w:t xml:space="preserve">第 </w:t>
                          </w:r>
                          <w:r>
                            <w:fldChar w:fldCharType="begin"/>
                          </w:r>
                          <w:r>
                            <w:instrText xml:space="preserve"> PAGE  \* MERGEFORMAT </w:instrText>
                          </w:r>
                          <w:r>
                            <w:fldChar w:fldCharType="separate"/>
                          </w:r>
                          <w:r>
                            <w:t>27</w:t>
                          </w:r>
                          <w:r>
                            <w:fldChar w:fldCharType="end"/>
                          </w:r>
                          <w:r>
                            <w:rPr>
                              <w:rFonts w:hint="eastAsia"/>
                            </w:rPr>
                            <w:t xml:space="preserve"> 页 共 </w:t>
                          </w:r>
                          <w:r>
                            <w:fldChar w:fldCharType="begin"/>
                          </w:r>
                          <w:r>
                            <w:instrText xml:space="preserve"> NUMPAGES  \* MERGEFORMAT </w:instrText>
                          </w:r>
                          <w:r>
                            <w:fldChar w:fldCharType="separate"/>
                          </w:r>
                          <w:r>
                            <w:t>32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11wiEbAgAAIQQAAA4AAABkcnMvZTJvRG9jLnhtbK1TzW4TMRC+I/EO&#10;lu9kN0G0U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11wiEbAgAAIQQAAA4A&#10;AAAAAAAAAQAgAAAAHwEAAGRycy9lMm9Eb2MueG1sUEsFBgAAAAAGAAYAWQEAAKwFAAAAAA==&#10;">
              <v:fill on="f" focussize="0,0"/>
              <v:stroke on="f" weight="0.5pt"/>
              <v:imagedata o:title=""/>
              <o:lock v:ext="edit" aspectratio="f"/>
              <v:textbox inset="0mm,0mm,0mm,0mm" style="mso-fit-shape-to-text:t;">
                <w:txbxContent>
                  <w:p>
                    <w:pPr>
                      <w:pStyle w:val="12"/>
                    </w:pPr>
                    <w:r>
                      <w:rPr>
                        <w:rFonts w:hint="eastAsia"/>
                      </w:rPr>
                      <w:t xml:space="preserve">第 </w:t>
                    </w:r>
                    <w:r>
                      <w:fldChar w:fldCharType="begin"/>
                    </w:r>
                    <w:r>
                      <w:instrText xml:space="preserve"> PAGE  \* MERGEFORMAT </w:instrText>
                    </w:r>
                    <w:r>
                      <w:fldChar w:fldCharType="separate"/>
                    </w:r>
                    <w:r>
                      <w:t>27</w:t>
                    </w:r>
                    <w:r>
                      <w:fldChar w:fldCharType="end"/>
                    </w:r>
                    <w:r>
                      <w:rPr>
                        <w:rFonts w:hint="eastAsia"/>
                      </w:rPr>
                      <w:t xml:space="preserve"> 页 共 </w:t>
                    </w:r>
                    <w:r>
                      <w:fldChar w:fldCharType="begin"/>
                    </w:r>
                    <w:r>
                      <w:instrText xml:space="preserve"> NUMPAGES  \* MERGEFORMAT </w:instrText>
                    </w:r>
                    <w:r>
                      <w:fldChar w:fldCharType="separate"/>
                    </w:r>
                    <w:r>
                      <w:t>32</w:t>
                    </w:r>
                    <w:r>
                      <w:fldChar w:fldCharType="end"/>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rPr>
                            <w:t xml:space="preserve">第 </w:t>
                          </w:r>
                          <w:r>
                            <w:fldChar w:fldCharType="begin"/>
                          </w:r>
                          <w:r>
                            <w:instrText xml:space="preserve"> PAGE  \* MERGEFORMAT </w:instrText>
                          </w:r>
                          <w:r>
                            <w:fldChar w:fldCharType="separate"/>
                          </w:r>
                          <w:r>
                            <w:t>32</w:t>
                          </w:r>
                          <w:r>
                            <w:fldChar w:fldCharType="end"/>
                          </w:r>
                          <w:r>
                            <w:rPr>
                              <w:rFonts w:hint="eastAsia"/>
                            </w:rPr>
                            <w:t xml:space="preserve"> 页 共 </w:t>
                          </w:r>
                          <w:r>
                            <w:fldChar w:fldCharType="begin"/>
                          </w:r>
                          <w:r>
                            <w:instrText xml:space="preserve"> NUMPAGES  \* MERGEFORMAT </w:instrText>
                          </w:r>
                          <w:r>
                            <w:fldChar w:fldCharType="separate"/>
                          </w:r>
                          <w:r>
                            <w:t>32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12"/>
                    </w:pPr>
                    <w:r>
                      <w:rPr>
                        <w:rFonts w:hint="eastAsia"/>
                      </w:rPr>
                      <w:t xml:space="preserve">第 </w:t>
                    </w:r>
                    <w:r>
                      <w:fldChar w:fldCharType="begin"/>
                    </w:r>
                    <w:r>
                      <w:instrText xml:space="preserve"> PAGE  \* MERGEFORMAT </w:instrText>
                    </w:r>
                    <w:r>
                      <w:fldChar w:fldCharType="separate"/>
                    </w:r>
                    <w:r>
                      <w:t>32</w:t>
                    </w:r>
                    <w:r>
                      <w:fldChar w:fldCharType="end"/>
                    </w:r>
                    <w:r>
                      <w:rPr>
                        <w:rFonts w:hint="eastAsia"/>
                      </w:rPr>
                      <w:t xml:space="preserve"> 页 共 </w:t>
                    </w:r>
                    <w:r>
                      <w:fldChar w:fldCharType="begin"/>
                    </w:r>
                    <w:r>
                      <w:instrText xml:space="preserve"> NUMPAGES  \* MERGEFORMAT </w:instrText>
                    </w:r>
                    <w:r>
                      <w:fldChar w:fldCharType="separate"/>
                    </w:r>
                    <w:r>
                      <w:t>32</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32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12"/>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32</w:t>
                    </w:r>
                    <w:r>
                      <w:fldChar w:fldCharType="end"/>
                    </w:r>
                    <w:r>
                      <w:rPr>
                        <w:rFonts w:hint="eastAsia"/>
                      </w:rPr>
                      <w:t xml:space="preserve"> 页</w:t>
                    </w:r>
                  </w:p>
                </w:txbxContent>
              </v:textbox>
            </v:shape>
          </w:pict>
        </mc:Fallback>
      </mc:AlternateContent>
    </w:r>
    <w:sdt>
      <w:sdtPr>
        <w:id w:val="10841087"/>
      </w:sdtPr>
      <w:sdtContent/>
    </w:sdt>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sm+JArIB&#10;AABZAwAADgAAAAAAAAABACAAAAAeAQAAZHJzL2Uyb0RvYy54bWxQSwUGAAAAAAYABgBZAQAAQgUA&#10;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rPr>
                            <w:t xml:space="preserve">第 </w:t>
                          </w:r>
                          <w:r>
                            <w:fldChar w:fldCharType="begin"/>
                          </w:r>
                          <w:r>
                            <w:instrText xml:space="preserve"> PAGE  \* MERGEFORMAT </w:instrText>
                          </w:r>
                          <w:r>
                            <w:fldChar w:fldCharType="separate"/>
                          </w:r>
                          <w:r>
                            <w:rPr>
                              <w:rFonts w:hint="eastAsia"/>
                            </w:rP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30</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12"/>
                    </w:pPr>
                    <w:r>
                      <w:rPr>
                        <w:rFonts w:hint="eastAsia"/>
                      </w:rPr>
                      <w:t xml:space="preserve">第 </w:t>
                    </w:r>
                    <w:r>
                      <w:fldChar w:fldCharType="begin"/>
                    </w:r>
                    <w:r>
                      <w:instrText xml:space="preserve"> PAGE  \* MERGEFORMAT </w:instrText>
                    </w:r>
                    <w:r>
                      <w:fldChar w:fldCharType="separate"/>
                    </w:r>
                    <w:r>
                      <w:rPr>
                        <w:rFonts w:hint="eastAsia"/>
                      </w:rP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30</w:t>
                    </w:r>
                    <w:r>
                      <w:rPr>
                        <w:rFonts w:hint="eastAsia"/>
                      </w:rPr>
                      <w:fldChar w:fldCharType="end"/>
                    </w:r>
                    <w:r>
                      <w:rPr>
                        <w:rFonts w:hint="eastAsia"/>
                      </w:rPr>
                      <w:t xml:space="preserve"> 页</w:t>
                    </w:r>
                  </w:p>
                </w:txbxContent>
              </v:textbox>
            </v:shape>
          </w:pict>
        </mc:Fallback>
      </mc:AlternateContent>
    </w:r>
  </w:p>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rPr>
                            <w:t xml:space="preserve">第 </w:t>
                          </w:r>
                          <w:r>
                            <w:fldChar w:fldCharType="begin"/>
                          </w:r>
                          <w:r>
                            <w:instrText xml:space="preserve"> PAGE  \* MERGEFORMAT </w:instrText>
                          </w:r>
                          <w:r>
                            <w:fldChar w:fldCharType="separate"/>
                          </w:r>
                          <w:r>
                            <w:t>19</w:t>
                          </w:r>
                          <w:r>
                            <w:fldChar w:fldCharType="end"/>
                          </w:r>
                          <w:r>
                            <w:rPr>
                              <w:rFonts w:hint="eastAsia"/>
                            </w:rPr>
                            <w:t xml:space="preserve"> 页 共 </w:t>
                          </w:r>
                          <w:r>
                            <w:fldChar w:fldCharType="begin"/>
                          </w:r>
                          <w:r>
                            <w:instrText xml:space="preserve"> NUMPAGES  \* MERGEFORMAT </w:instrText>
                          </w:r>
                          <w:r>
                            <w:fldChar w:fldCharType="separate"/>
                          </w:r>
                          <w:r>
                            <w:t>32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12"/>
                    </w:pPr>
                    <w:r>
                      <w:rPr>
                        <w:rFonts w:hint="eastAsia"/>
                      </w:rPr>
                      <w:t xml:space="preserve">第 </w:t>
                    </w:r>
                    <w:r>
                      <w:fldChar w:fldCharType="begin"/>
                    </w:r>
                    <w:r>
                      <w:instrText xml:space="preserve"> PAGE  \* MERGEFORMAT </w:instrText>
                    </w:r>
                    <w:r>
                      <w:fldChar w:fldCharType="separate"/>
                    </w:r>
                    <w:r>
                      <w:t>19</w:t>
                    </w:r>
                    <w:r>
                      <w:fldChar w:fldCharType="end"/>
                    </w:r>
                    <w:r>
                      <w:rPr>
                        <w:rFonts w:hint="eastAsia"/>
                      </w:rPr>
                      <w:t xml:space="preserve"> 页 共 </w:t>
                    </w:r>
                    <w:r>
                      <w:fldChar w:fldCharType="begin"/>
                    </w:r>
                    <w:r>
                      <w:instrText xml:space="preserve"> NUMPAGES  \* MERGEFORMAT </w:instrText>
                    </w:r>
                    <w:r>
                      <w:fldChar w:fldCharType="separate"/>
                    </w:r>
                    <w:r>
                      <w:t>32</w:t>
                    </w:r>
                    <w: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rPr>
                            <w:t xml:space="preserve">第 </w:t>
                          </w:r>
                          <w:r>
                            <w:fldChar w:fldCharType="begin"/>
                          </w:r>
                          <w:r>
                            <w:instrText xml:space="preserve"> PAGE  \* MERGEFORMAT </w:instrText>
                          </w:r>
                          <w:r>
                            <w:fldChar w:fldCharType="separate"/>
                          </w:r>
                          <w:r>
                            <w:t>20</w:t>
                          </w:r>
                          <w:r>
                            <w:fldChar w:fldCharType="end"/>
                          </w:r>
                          <w:r>
                            <w:rPr>
                              <w:rFonts w:hint="eastAsia"/>
                            </w:rPr>
                            <w:t xml:space="preserve"> 页 共 </w:t>
                          </w:r>
                          <w:r>
                            <w:fldChar w:fldCharType="begin"/>
                          </w:r>
                          <w:r>
                            <w:instrText xml:space="preserve"> NUMPAGES  \* MERGEFORMAT </w:instrText>
                          </w:r>
                          <w:r>
                            <w:fldChar w:fldCharType="separate"/>
                          </w:r>
                          <w:r>
                            <w:t>32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pStyle w:val="12"/>
                    </w:pPr>
                    <w:r>
                      <w:rPr>
                        <w:rFonts w:hint="eastAsia"/>
                      </w:rPr>
                      <w:t xml:space="preserve">第 </w:t>
                    </w:r>
                    <w:r>
                      <w:fldChar w:fldCharType="begin"/>
                    </w:r>
                    <w:r>
                      <w:instrText xml:space="preserve"> PAGE  \* MERGEFORMAT </w:instrText>
                    </w:r>
                    <w:r>
                      <w:fldChar w:fldCharType="separate"/>
                    </w:r>
                    <w:r>
                      <w:t>20</w:t>
                    </w:r>
                    <w:r>
                      <w:fldChar w:fldCharType="end"/>
                    </w:r>
                    <w:r>
                      <w:rPr>
                        <w:rFonts w:hint="eastAsia"/>
                      </w:rPr>
                      <w:t xml:space="preserve"> 页 共 </w:t>
                    </w:r>
                    <w:r>
                      <w:fldChar w:fldCharType="begin"/>
                    </w:r>
                    <w:r>
                      <w:instrText xml:space="preserve"> NUMPAGES  \* MERGEFORMAT </w:instrText>
                    </w:r>
                    <w:r>
                      <w:fldChar w:fldCharType="separate"/>
                    </w:r>
                    <w:r>
                      <w:t>32</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rPr>
                            <w:t xml:space="preserve">第 </w:t>
                          </w:r>
                          <w:r>
                            <w:fldChar w:fldCharType="begin"/>
                          </w:r>
                          <w:r>
                            <w:instrText xml:space="preserve"> PAGE  \* MERGEFORMAT </w:instrText>
                          </w:r>
                          <w:r>
                            <w:fldChar w:fldCharType="separate"/>
                          </w:r>
                          <w:r>
                            <w:t>22</w:t>
                          </w:r>
                          <w:r>
                            <w:fldChar w:fldCharType="end"/>
                          </w:r>
                          <w:r>
                            <w:rPr>
                              <w:rFonts w:hint="eastAsia"/>
                            </w:rPr>
                            <w:t xml:space="preserve"> 页 共 </w:t>
                          </w:r>
                          <w:r>
                            <w:fldChar w:fldCharType="begin"/>
                          </w:r>
                          <w:r>
                            <w:instrText xml:space="preserve"> NUMPAGES  \* MERGEFORMAT </w:instrText>
                          </w:r>
                          <w:r>
                            <w:fldChar w:fldCharType="separate"/>
                          </w:r>
                          <w:r>
                            <w:t>32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fill on="f" focussize="0,0"/>
              <v:stroke on="f" weight="0.5pt"/>
              <v:imagedata o:title=""/>
              <o:lock v:ext="edit" aspectratio="f"/>
              <v:textbox inset="0mm,0mm,0mm,0mm" style="mso-fit-shape-to-text:t;">
                <w:txbxContent>
                  <w:p>
                    <w:pPr>
                      <w:pStyle w:val="12"/>
                    </w:pPr>
                    <w:r>
                      <w:rPr>
                        <w:rFonts w:hint="eastAsia"/>
                      </w:rPr>
                      <w:t xml:space="preserve">第 </w:t>
                    </w:r>
                    <w:r>
                      <w:fldChar w:fldCharType="begin"/>
                    </w:r>
                    <w:r>
                      <w:instrText xml:space="preserve"> PAGE  \* MERGEFORMAT </w:instrText>
                    </w:r>
                    <w:r>
                      <w:fldChar w:fldCharType="separate"/>
                    </w:r>
                    <w:r>
                      <w:t>22</w:t>
                    </w:r>
                    <w:r>
                      <w:fldChar w:fldCharType="end"/>
                    </w:r>
                    <w:r>
                      <w:rPr>
                        <w:rFonts w:hint="eastAsia"/>
                      </w:rPr>
                      <w:t xml:space="preserve"> 页 共 </w:t>
                    </w:r>
                    <w:r>
                      <w:fldChar w:fldCharType="begin"/>
                    </w:r>
                    <w:r>
                      <w:instrText xml:space="preserve"> NUMPAGES  \* MERGEFORMAT </w:instrText>
                    </w:r>
                    <w:r>
                      <w:fldChar w:fldCharType="separate"/>
                    </w:r>
                    <w:r>
                      <w:t>32</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5B0AF7"/>
    <w:multiLevelType w:val="singleLevel"/>
    <w:tmpl w:val="D75B0AF7"/>
    <w:lvl w:ilvl="0" w:tentative="0">
      <w:start w:val="4"/>
      <w:numFmt w:val="chineseCounting"/>
      <w:suff w:val="nothing"/>
      <w:lvlText w:val="（%1）"/>
      <w:lvlJc w:val="left"/>
      <w:rPr>
        <w:rFonts w:hint="eastAsia"/>
      </w:rPr>
    </w:lvl>
  </w:abstractNum>
  <w:abstractNum w:abstractNumId="1">
    <w:nsid w:val="F56BBF5C"/>
    <w:multiLevelType w:val="singleLevel"/>
    <w:tmpl w:val="F56BBF5C"/>
    <w:lvl w:ilvl="0" w:tentative="0">
      <w:start w:val="9"/>
      <w:numFmt w:val="decimal"/>
      <w:suff w:val="nothing"/>
      <w:lvlText w:val="%1、"/>
      <w:lvlJc w:val="left"/>
    </w:lvl>
  </w:abstractNum>
  <w:abstractNum w:abstractNumId="2">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C52"/>
    <w:rsid w:val="00062EC7"/>
    <w:rsid w:val="000733E3"/>
    <w:rsid w:val="00077AD0"/>
    <w:rsid w:val="0008464A"/>
    <w:rsid w:val="000B0F07"/>
    <w:rsid w:val="000E59B1"/>
    <w:rsid w:val="0016252E"/>
    <w:rsid w:val="001D45E0"/>
    <w:rsid w:val="001F265F"/>
    <w:rsid w:val="001F6F82"/>
    <w:rsid w:val="00241EC0"/>
    <w:rsid w:val="00243259"/>
    <w:rsid w:val="00280DD3"/>
    <w:rsid w:val="002823A6"/>
    <w:rsid w:val="0029334A"/>
    <w:rsid w:val="002A098B"/>
    <w:rsid w:val="002F0C52"/>
    <w:rsid w:val="00320237"/>
    <w:rsid w:val="0037103C"/>
    <w:rsid w:val="003C3981"/>
    <w:rsid w:val="003D7CBF"/>
    <w:rsid w:val="00470E9F"/>
    <w:rsid w:val="004F57EE"/>
    <w:rsid w:val="00595898"/>
    <w:rsid w:val="005970B0"/>
    <w:rsid w:val="005A1707"/>
    <w:rsid w:val="005C1514"/>
    <w:rsid w:val="00606F17"/>
    <w:rsid w:val="0068322F"/>
    <w:rsid w:val="006970EB"/>
    <w:rsid w:val="006A6165"/>
    <w:rsid w:val="006B2115"/>
    <w:rsid w:val="007054CD"/>
    <w:rsid w:val="0073244C"/>
    <w:rsid w:val="00783623"/>
    <w:rsid w:val="007A2E55"/>
    <w:rsid w:val="007F33BD"/>
    <w:rsid w:val="00800709"/>
    <w:rsid w:val="00887C6A"/>
    <w:rsid w:val="008C31FC"/>
    <w:rsid w:val="008C3ADA"/>
    <w:rsid w:val="009167BD"/>
    <w:rsid w:val="00946E9E"/>
    <w:rsid w:val="009E1211"/>
    <w:rsid w:val="00A2769E"/>
    <w:rsid w:val="00A27C83"/>
    <w:rsid w:val="00A574FA"/>
    <w:rsid w:val="00AA49A6"/>
    <w:rsid w:val="00AD5AE1"/>
    <w:rsid w:val="00B1204C"/>
    <w:rsid w:val="00B31A76"/>
    <w:rsid w:val="00BA54A1"/>
    <w:rsid w:val="00BD0040"/>
    <w:rsid w:val="00BD7DFC"/>
    <w:rsid w:val="00BF161C"/>
    <w:rsid w:val="00C157AE"/>
    <w:rsid w:val="00CE5392"/>
    <w:rsid w:val="00E113B0"/>
    <w:rsid w:val="00E87C1E"/>
    <w:rsid w:val="00F0508A"/>
    <w:rsid w:val="00F138FE"/>
    <w:rsid w:val="00F204CC"/>
    <w:rsid w:val="00F66CFE"/>
    <w:rsid w:val="00F7786A"/>
    <w:rsid w:val="018860A9"/>
    <w:rsid w:val="01D7199A"/>
    <w:rsid w:val="020413E9"/>
    <w:rsid w:val="029938A9"/>
    <w:rsid w:val="03A25835"/>
    <w:rsid w:val="03DB0C15"/>
    <w:rsid w:val="040B2539"/>
    <w:rsid w:val="05944970"/>
    <w:rsid w:val="05A259F1"/>
    <w:rsid w:val="06434357"/>
    <w:rsid w:val="074224B4"/>
    <w:rsid w:val="09A116B0"/>
    <w:rsid w:val="09A16F7F"/>
    <w:rsid w:val="09C0315B"/>
    <w:rsid w:val="0AF921F8"/>
    <w:rsid w:val="0BC139B8"/>
    <w:rsid w:val="0D114D25"/>
    <w:rsid w:val="0DBF66E3"/>
    <w:rsid w:val="0E161F02"/>
    <w:rsid w:val="0E500452"/>
    <w:rsid w:val="0E535409"/>
    <w:rsid w:val="100460C1"/>
    <w:rsid w:val="136F081D"/>
    <w:rsid w:val="13E02148"/>
    <w:rsid w:val="153C725B"/>
    <w:rsid w:val="15C21D0E"/>
    <w:rsid w:val="185F2E14"/>
    <w:rsid w:val="18ED53D1"/>
    <w:rsid w:val="1967240D"/>
    <w:rsid w:val="1B115F5B"/>
    <w:rsid w:val="1BB01B0B"/>
    <w:rsid w:val="1BBA28CF"/>
    <w:rsid w:val="1BEC6523"/>
    <w:rsid w:val="1CE11745"/>
    <w:rsid w:val="1EAE02AF"/>
    <w:rsid w:val="21152A38"/>
    <w:rsid w:val="21B40E5C"/>
    <w:rsid w:val="21ED0846"/>
    <w:rsid w:val="23A25504"/>
    <w:rsid w:val="24326DF1"/>
    <w:rsid w:val="270664B9"/>
    <w:rsid w:val="2787664C"/>
    <w:rsid w:val="287E4810"/>
    <w:rsid w:val="292F0CAF"/>
    <w:rsid w:val="29A84304"/>
    <w:rsid w:val="2AA57783"/>
    <w:rsid w:val="2CB52BC8"/>
    <w:rsid w:val="2EA451BE"/>
    <w:rsid w:val="2F0C4AC8"/>
    <w:rsid w:val="300C3885"/>
    <w:rsid w:val="30DF53C3"/>
    <w:rsid w:val="33AB2E00"/>
    <w:rsid w:val="33C852BE"/>
    <w:rsid w:val="350230B9"/>
    <w:rsid w:val="35A6339D"/>
    <w:rsid w:val="372266C7"/>
    <w:rsid w:val="37285450"/>
    <w:rsid w:val="37513ABD"/>
    <w:rsid w:val="375508E5"/>
    <w:rsid w:val="3761399F"/>
    <w:rsid w:val="37D35675"/>
    <w:rsid w:val="37DF52E0"/>
    <w:rsid w:val="3A1952A8"/>
    <w:rsid w:val="3A3A27D2"/>
    <w:rsid w:val="3A7313B2"/>
    <w:rsid w:val="3C8461D9"/>
    <w:rsid w:val="3CE57D3F"/>
    <w:rsid w:val="3DB86EC2"/>
    <w:rsid w:val="3E36565C"/>
    <w:rsid w:val="3F3B387C"/>
    <w:rsid w:val="3F566DB0"/>
    <w:rsid w:val="3F582BF3"/>
    <w:rsid w:val="40044169"/>
    <w:rsid w:val="427450A4"/>
    <w:rsid w:val="43B125FD"/>
    <w:rsid w:val="44146D5A"/>
    <w:rsid w:val="44AC07D5"/>
    <w:rsid w:val="45AD6A44"/>
    <w:rsid w:val="45FC5528"/>
    <w:rsid w:val="468328D3"/>
    <w:rsid w:val="46921F77"/>
    <w:rsid w:val="46B04958"/>
    <w:rsid w:val="46CB369B"/>
    <w:rsid w:val="495316D7"/>
    <w:rsid w:val="49F36C42"/>
    <w:rsid w:val="4AD203D4"/>
    <w:rsid w:val="4AEE6732"/>
    <w:rsid w:val="4B79764D"/>
    <w:rsid w:val="4E662BFF"/>
    <w:rsid w:val="4F574CFA"/>
    <w:rsid w:val="500566BE"/>
    <w:rsid w:val="50413307"/>
    <w:rsid w:val="506818D6"/>
    <w:rsid w:val="52747CE4"/>
    <w:rsid w:val="53EB78F6"/>
    <w:rsid w:val="55182EA6"/>
    <w:rsid w:val="555B3BA7"/>
    <w:rsid w:val="55B67588"/>
    <w:rsid w:val="55CE7D38"/>
    <w:rsid w:val="56306A14"/>
    <w:rsid w:val="59A36A0D"/>
    <w:rsid w:val="5AD7610B"/>
    <w:rsid w:val="5AE1172E"/>
    <w:rsid w:val="5B07037D"/>
    <w:rsid w:val="5B074B68"/>
    <w:rsid w:val="5B8C269A"/>
    <w:rsid w:val="5C6D574F"/>
    <w:rsid w:val="5CCA7FD3"/>
    <w:rsid w:val="5EAA516C"/>
    <w:rsid w:val="5F482BBC"/>
    <w:rsid w:val="5F712D03"/>
    <w:rsid w:val="605E4116"/>
    <w:rsid w:val="608B564A"/>
    <w:rsid w:val="60F71CF7"/>
    <w:rsid w:val="629C7D87"/>
    <w:rsid w:val="63392709"/>
    <w:rsid w:val="63470076"/>
    <w:rsid w:val="6381334D"/>
    <w:rsid w:val="67D27B32"/>
    <w:rsid w:val="67DD419F"/>
    <w:rsid w:val="683E4A7E"/>
    <w:rsid w:val="6D4F038D"/>
    <w:rsid w:val="6E213893"/>
    <w:rsid w:val="6F066E31"/>
    <w:rsid w:val="700A6127"/>
    <w:rsid w:val="7189237A"/>
    <w:rsid w:val="71B205C1"/>
    <w:rsid w:val="71C93182"/>
    <w:rsid w:val="71E7166A"/>
    <w:rsid w:val="71F024C9"/>
    <w:rsid w:val="73192E1A"/>
    <w:rsid w:val="73E877E6"/>
    <w:rsid w:val="74DD5AA4"/>
    <w:rsid w:val="76333214"/>
    <w:rsid w:val="76E165C6"/>
    <w:rsid w:val="77855D8E"/>
    <w:rsid w:val="77A607E9"/>
    <w:rsid w:val="79B23531"/>
    <w:rsid w:val="7B4E2D2D"/>
    <w:rsid w:val="7CD66059"/>
    <w:rsid w:val="7FA96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9"/>
    <w:pPr>
      <w:keepNext/>
      <w:outlineLvl w:val="0"/>
    </w:pPr>
    <w:rPr>
      <w:rFonts w:ascii="宋体"/>
      <w:sz w:val="28"/>
    </w:rPr>
  </w:style>
  <w:style w:type="paragraph" w:styleId="3">
    <w:name w:val="heading 2"/>
    <w:basedOn w:val="1"/>
    <w:next w:val="1"/>
    <w:link w:val="27"/>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qFormat/>
    <w:uiPriority w:val="0"/>
    <w:pPr>
      <w:jc w:val="left"/>
    </w:pPr>
  </w:style>
  <w:style w:type="paragraph" w:styleId="6">
    <w:name w:val="Body Text"/>
    <w:basedOn w:val="1"/>
    <w:link w:val="41"/>
    <w:qFormat/>
    <w:uiPriority w:val="0"/>
    <w:pPr>
      <w:spacing w:after="120"/>
    </w:pPr>
  </w:style>
  <w:style w:type="paragraph" w:styleId="7">
    <w:name w:val="toc 3"/>
    <w:basedOn w:val="1"/>
    <w:next w:val="1"/>
    <w:qFormat/>
    <w:uiPriority w:val="39"/>
    <w:pPr>
      <w:ind w:left="840" w:leftChars="400"/>
    </w:pPr>
  </w:style>
  <w:style w:type="paragraph" w:styleId="8">
    <w:name w:val="Plain Text"/>
    <w:basedOn w:val="1"/>
    <w:link w:val="31"/>
    <w:qFormat/>
    <w:uiPriority w:val="0"/>
    <w:pPr>
      <w:spacing w:line="360" w:lineRule="auto"/>
    </w:pPr>
    <w:rPr>
      <w:rFonts w:ascii="楷体_GB2312" w:hAnsi="Courier New" w:eastAsia="楷体_GB2312"/>
      <w:sz w:val="24"/>
    </w:rPr>
  </w:style>
  <w:style w:type="paragraph" w:styleId="9">
    <w:name w:val="Date"/>
    <w:basedOn w:val="1"/>
    <w:next w:val="1"/>
    <w:link w:val="37"/>
    <w:qFormat/>
    <w:uiPriority w:val="0"/>
    <w:rPr>
      <w:sz w:val="28"/>
    </w:rPr>
  </w:style>
  <w:style w:type="paragraph" w:styleId="10">
    <w:name w:val="Body Text Indent 2"/>
    <w:basedOn w:val="1"/>
    <w:link w:val="29"/>
    <w:qFormat/>
    <w:uiPriority w:val="99"/>
    <w:pPr>
      <w:spacing w:line="312" w:lineRule="auto"/>
      <w:ind w:firstLine="480" w:firstLineChars="200"/>
    </w:pPr>
    <w:rPr>
      <w:sz w:val="24"/>
    </w:rPr>
  </w:style>
  <w:style w:type="paragraph" w:styleId="11">
    <w:name w:val="Balloon Text"/>
    <w:basedOn w:val="1"/>
    <w:link w:val="35"/>
    <w:semiHidden/>
    <w:qFormat/>
    <w:uiPriority w:val="99"/>
    <w:rPr>
      <w:sz w:val="18"/>
      <w:szCs w:val="18"/>
    </w:rPr>
  </w:style>
  <w:style w:type="paragraph" w:styleId="12">
    <w:name w:val="footer"/>
    <w:basedOn w:val="1"/>
    <w:link w:val="25"/>
    <w:unhideWhenUsed/>
    <w:qFormat/>
    <w:uiPriority w:val="0"/>
    <w:pPr>
      <w:tabs>
        <w:tab w:val="center" w:pos="4153"/>
        <w:tab w:val="right" w:pos="8306"/>
      </w:tabs>
      <w:snapToGrid w:val="0"/>
      <w:jc w:val="left"/>
    </w:pPr>
    <w:rPr>
      <w:sz w:val="18"/>
      <w:szCs w:val="18"/>
    </w:rPr>
  </w:style>
  <w:style w:type="paragraph" w:styleId="13">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913"/>
      </w:tabs>
      <w:ind w:firstLine="422" w:firstLineChars="200"/>
    </w:pPr>
    <w:rPr>
      <w:b/>
    </w:rPr>
  </w:style>
  <w:style w:type="paragraph" w:styleId="15">
    <w:name w:val="toc 2"/>
    <w:basedOn w:val="1"/>
    <w:next w:val="1"/>
    <w:qFormat/>
    <w:uiPriority w:val="39"/>
    <w:pPr>
      <w:tabs>
        <w:tab w:val="left" w:pos="941"/>
        <w:tab w:val="right" w:leader="dot" w:pos="9923"/>
      </w:tabs>
      <w:ind w:left="420" w:leftChars="200" w:right="283" w:rightChars="135"/>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7">
    <w:name w:val="annotation subject"/>
    <w:basedOn w:val="5"/>
    <w:next w:val="5"/>
    <w:link w:val="34"/>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annotation reference"/>
    <w:semiHidden/>
    <w:qFormat/>
    <w:uiPriority w:val="0"/>
    <w:rPr>
      <w:sz w:val="21"/>
      <w:szCs w:val="21"/>
    </w:rPr>
  </w:style>
  <w:style w:type="character" w:customStyle="1" w:styleId="24">
    <w:name w:val="页眉 Char"/>
    <w:basedOn w:val="20"/>
    <w:link w:val="13"/>
    <w:semiHidden/>
    <w:qFormat/>
    <w:uiPriority w:val="99"/>
    <w:rPr>
      <w:sz w:val="18"/>
      <w:szCs w:val="18"/>
    </w:rPr>
  </w:style>
  <w:style w:type="character" w:customStyle="1" w:styleId="25">
    <w:name w:val="页脚 Char"/>
    <w:basedOn w:val="20"/>
    <w:link w:val="12"/>
    <w:qFormat/>
    <w:uiPriority w:val="0"/>
    <w:rPr>
      <w:sz w:val="18"/>
      <w:szCs w:val="18"/>
    </w:rPr>
  </w:style>
  <w:style w:type="character" w:customStyle="1" w:styleId="26">
    <w:name w:val="标题 1 Char"/>
    <w:basedOn w:val="20"/>
    <w:link w:val="2"/>
    <w:qFormat/>
    <w:uiPriority w:val="99"/>
    <w:rPr>
      <w:rFonts w:ascii="宋体" w:hAnsi="Times New Roman" w:eastAsia="宋体" w:cs="Times New Roman"/>
      <w:sz w:val="28"/>
      <w:szCs w:val="20"/>
    </w:rPr>
  </w:style>
  <w:style w:type="character" w:customStyle="1" w:styleId="27">
    <w:name w:val="标题 2 Char"/>
    <w:basedOn w:val="20"/>
    <w:link w:val="3"/>
    <w:qFormat/>
    <w:uiPriority w:val="99"/>
    <w:rPr>
      <w:rFonts w:ascii="Arial" w:hAnsi="Arial" w:eastAsia="黑体" w:cs="Times New Roman"/>
      <w:b/>
      <w:bCs/>
      <w:sz w:val="32"/>
      <w:szCs w:val="32"/>
    </w:rPr>
  </w:style>
  <w:style w:type="character" w:customStyle="1" w:styleId="28">
    <w:name w:val="标题 3 Char"/>
    <w:basedOn w:val="20"/>
    <w:link w:val="4"/>
    <w:qFormat/>
    <w:uiPriority w:val="0"/>
    <w:rPr>
      <w:rFonts w:ascii="Times New Roman" w:hAnsi="Times New Roman" w:eastAsia="宋体" w:cs="Times New Roman"/>
      <w:b/>
      <w:bCs/>
      <w:sz w:val="32"/>
      <w:szCs w:val="32"/>
    </w:rPr>
  </w:style>
  <w:style w:type="character" w:customStyle="1" w:styleId="29">
    <w:name w:val="正文文本缩进 2 Char"/>
    <w:basedOn w:val="20"/>
    <w:link w:val="10"/>
    <w:qFormat/>
    <w:uiPriority w:val="99"/>
    <w:rPr>
      <w:rFonts w:ascii="Times New Roman" w:hAnsi="Times New Roman" w:eastAsia="宋体" w:cs="Times New Roman"/>
      <w:sz w:val="24"/>
      <w:szCs w:val="20"/>
    </w:rPr>
  </w:style>
  <w:style w:type="paragraph" w:customStyle="1" w:styleId="30">
    <w:name w:val="Char2"/>
    <w:basedOn w:val="1"/>
    <w:qFormat/>
    <w:uiPriority w:val="0"/>
    <w:pPr>
      <w:ind w:left="432" w:hanging="432"/>
    </w:pPr>
    <w:rPr>
      <w:sz w:val="24"/>
      <w:szCs w:val="24"/>
    </w:rPr>
  </w:style>
  <w:style w:type="character" w:customStyle="1" w:styleId="31">
    <w:name w:val="纯文本 Char"/>
    <w:basedOn w:val="20"/>
    <w:link w:val="8"/>
    <w:qFormat/>
    <w:uiPriority w:val="0"/>
    <w:rPr>
      <w:rFonts w:ascii="楷体_GB2312" w:hAnsi="Courier New" w:eastAsia="楷体_GB2312" w:cs="Times New Roman"/>
      <w:sz w:val="24"/>
      <w:szCs w:val="20"/>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3">
    <w:name w:val="批注文字 Char"/>
    <w:basedOn w:val="20"/>
    <w:link w:val="5"/>
    <w:semiHidden/>
    <w:qFormat/>
    <w:uiPriority w:val="0"/>
    <w:rPr>
      <w:rFonts w:ascii="Times New Roman" w:hAnsi="Times New Roman" w:eastAsia="宋体" w:cs="Times New Roman"/>
      <w:szCs w:val="20"/>
    </w:rPr>
  </w:style>
  <w:style w:type="character" w:customStyle="1" w:styleId="34">
    <w:name w:val="批注主题 Char"/>
    <w:basedOn w:val="33"/>
    <w:link w:val="17"/>
    <w:semiHidden/>
    <w:qFormat/>
    <w:uiPriority w:val="0"/>
    <w:rPr>
      <w:rFonts w:ascii="Times New Roman" w:hAnsi="Times New Roman" w:eastAsia="宋体" w:cs="Times New Roman"/>
      <w:b/>
      <w:bCs/>
      <w:szCs w:val="20"/>
    </w:rPr>
  </w:style>
  <w:style w:type="character" w:customStyle="1" w:styleId="35">
    <w:name w:val="批注框文本 Char"/>
    <w:basedOn w:val="20"/>
    <w:link w:val="11"/>
    <w:semiHidden/>
    <w:qFormat/>
    <w:uiPriority w:val="99"/>
    <w:rPr>
      <w:rFonts w:ascii="Times New Roman" w:hAnsi="Times New Roman" w:eastAsia="宋体" w:cs="Times New Roman"/>
      <w:sz w:val="18"/>
      <w:szCs w:val="18"/>
    </w:rPr>
  </w:style>
  <w:style w:type="paragraph" w:styleId="36">
    <w:name w:val="List Paragraph"/>
    <w:basedOn w:val="1"/>
    <w:qFormat/>
    <w:uiPriority w:val="34"/>
    <w:pPr>
      <w:ind w:firstLine="420" w:firstLineChars="200"/>
    </w:pPr>
    <w:rPr>
      <w:szCs w:val="24"/>
    </w:rPr>
  </w:style>
  <w:style w:type="character" w:customStyle="1" w:styleId="37">
    <w:name w:val="日期 Char"/>
    <w:basedOn w:val="20"/>
    <w:link w:val="9"/>
    <w:qFormat/>
    <w:uiPriority w:val="0"/>
    <w:rPr>
      <w:rFonts w:ascii="Times New Roman" w:hAnsi="Times New Roman" w:eastAsia="宋体" w:cs="Times New Roman"/>
      <w:sz w:val="28"/>
      <w:szCs w:val="20"/>
    </w:rPr>
  </w:style>
  <w:style w:type="paragraph" w:customStyle="1" w:styleId="38">
    <w:name w:val="Char"/>
    <w:basedOn w:val="1"/>
    <w:qFormat/>
    <w:uiPriority w:val="0"/>
    <w:rPr>
      <w:rFonts w:ascii="FangSong_GB2312" w:eastAsia="FangSong_GB2312"/>
      <w:b/>
      <w:sz w:val="32"/>
      <w:szCs w:val="32"/>
    </w:rPr>
  </w:style>
  <w:style w:type="paragraph" w:customStyle="1" w:styleId="3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0">
    <w:name w:val="apple-converted-space"/>
    <w:basedOn w:val="20"/>
    <w:qFormat/>
    <w:uiPriority w:val="0"/>
  </w:style>
  <w:style w:type="character" w:customStyle="1" w:styleId="41">
    <w:name w:val="正文文本 Char"/>
    <w:basedOn w:val="20"/>
    <w:link w:val="6"/>
    <w:qFormat/>
    <w:uiPriority w:val="0"/>
    <w:rPr>
      <w:rFonts w:ascii="Times New Roman" w:hAnsi="Times New Roman" w:eastAsia="宋体" w:cs="Times New Roman"/>
      <w:szCs w:val="20"/>
    </w:rPr>
  </w:style>
  <w:style w:type="paragraph" w:customStyle="1" w:styleId="42">
    <w:name w:val="列出段落1"/>
    <w:basedOn w:val="1"/>
    <w:qFormat/>
    <w:uiPriority w:val="0"/>
    <w:pPr>
      <w:widowControl/>
      <w:ind w:left="720"/>
      <w:contextualSpacing/>
      <w:jc w:val="left"/>
    </w:pPr>
    <w:rPr>
      <w:rFonts w:ascii="Calibri" w:hAnsi="Calibri"/>
      <w:kern w:val="0"/>
      <w:sz w:val="24"/>
      <w:szCs w:val="24"/>
    </w:rPr>
  </w:style>
  <w:style w:type="paragraph" w:customStyle="1" w:styleId="43">
    <w:name w:val="Char Char Char Char Char Char Char"/>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1D2F24-F8F9-4C8E-A52C-B4BDB36B6AD1}">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1921</Words>
  <Characters>10955</Characters>
  <Lines>91</Lines>
  <Paragraphs>25</Paragraphs>
  <TotalTime>203</TotalTime>
  <ScaleCrop>false</ScaleCrop>
  <LinksUpToDate>false</LinksUpToDate>
  <CharactersWithSpaces>12851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2018-12-28T07:44:00Z</dcterms:created>
  <dc:creator>NTKO</dc:creator>
  <cp:lastModifiedBy>Administrator</cp:lastModifiedBy>
  <cp:lastPrinted>2019-10-25T02:25:00Z</cp:lastPrinted>
  <dcterms:modified xsi:type="dcterms:W3CDTF">2020-10-12T06:56:10Z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