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ascii="黑体" w:hAnsi="黑体" w:eastAsia="黑体" w:cs="黑体"/>
          <w:b/>
          <w:sz w:val="32"/>
          <w:szCs w:val="32"/>
        </w:rPr>
        <w:t>全院水电材料</w:t>
      </w:r>
      <w:r>
        <w:rPr>
          <w:rFonts w:hint="eastAsia" w:eastAsia="黑体"/>
          <w:b/>
          <w:bCs/>
          <w:sz w:val="32"/>
        </w:rPr>
        <w:t>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eastAsia" w:eastAsia="黑体"/>
          <w:b/>
          <w:bCs/>
          <w:color w:val="FF0000"/>
          <w:sz w:val="32"/>
          <w:lang w:val="en-US" w:eastAsia="zh-CN"/>
        </w:rPr>
      </w:pPr>
      <w:r>
        <w:rPr>
          <w:rFonts w:hint="eastAsia" w:eastAsia="黑体"/>
          <w:b/>
          <w:bCs/>
          <w:sz w:val="32"/>
        </w:rPr>
        <w:t>项目编号：YN2021-</w:t>
      </w:r>
      <w:r>
        <w:rPr>
          <w:rFonts w:hint="eastAsia" w:eastAsia="黑体"/>
          <w:b/>
          <w:bCs/>
          <w:sz w:val="32"/>
          <w:lang w:val="en-US" w:eastAsia="zh-CN"/>
        </w:rPr>
        <w:t>006</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二0二一年二月</w:t>
      </w:r>
      <w:r>
        <w:rPr>
          <w:rFonts w:hint="eastAsia" w:eastAsia="黑体"/>
          <w:b/>
          <w:bCs/>
          <w:sz w:val="32"/>
          <w:lang w:eastAsia="zh-CN"/>
        </w:rPr>
        <w:t>十八</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6"/>
        <w:tabs>
          <w:tab w:val="right" w:leader="dot" w:pos="9923"/>
          <w:tab w:val="clear" w:pos="9913"/>
        </w:tabs>
        <w:ind w:firstLine="420"/>
      </w:pPr>
      <w:r>
        <w:rPr>
          <w:rStyle w:val="21"/>
          <w:b w:val="0"/>
          <w:color w:val="auto"/>
        </w:rPr>
        <w:fldChar w:fldCharType="begin"/>
      </w:r>
      <w:r>
        <w:rPr>
          <w:rStyle w:val="21"/>
          <w:rFonts w:hint="eastAsia" w:asciiTheme="minorEastAsia" w:hAnsiTheme="minorEastAsia" w:eastAsiaTheme="minorEastAsia"/>
          <w:b w:val="0"/>
          <w:color w:val="auto"/>
          <w:shd w:val="pct10" w:color="auto" w:fill="FFFFFF"/>
        </w:rPr>
        <w:instrText xml:space="preserve">TOC \o "1-3" \h \z \u</w:instrText>
      </w:r>
      <w:r>
        <w:rPr>
          <w:rStyle w:val="21"/>
          <w:b w:val="0"/>
          <w:color w:val="auto"/>
        </w:rPr>
        <w:fldChar w:fldCharType="separate"/>
      </w:r>
      <w:r>
        <w:fldChar w:fldCharType="begin"/>
      </w:r>
      <w:r>
        <w:instrText xml:space="preserve"> HYPERLINK \l "_Toc30481" </w:instrText>
      </w:r>
      <w:r>
        <w:fldChar w:fldCharType="separate"/>
      </w:r>
      <w:r>
        <w:rPr>
          <w:rFonts w:hint="eastAsia"/>
        </w:rPr>
        <w:t>第一章　谈判公告</w:t>
      </w:r>
      <w:r>
        <w:tab/>
      </w:r>
      <w:r>
        <w:fldChar w:fldCharType="begin"/>
      </w:r>
      <w:r>
        <w:instrText xml:space="preserve"> PAGEREF _Toc30481 </w:instrText>
      </w:r>
      <w:r>
        <w:fldChar w:fldCharType="separate"/>
      </w:r>
      <w:r>
        <w:t>3</w:t>
      </w:r>
      <w:r>
        <w:fldChar w:fldCharType="end"/>
      </w:r>
      <w:r>
        <w:fldChar w:fldCharType="end"/>
      </w:r>
    </w:p>
    <w:p>
      <w:pPr>
        <w:pStyle w:val="16"/>
        <w:tabs>
          <w:tab w:val="right" w:leader="dot" w:pos="9923"/>
          <w:tab w:val="clear" w:pos="9913"/>
        </w:tabs>
      </w:pPr>
      <w:r>
        <w:fldChar w:fldCharType="begin"/>
      </w:r>
      <w:r>
        <w:instrText xml:space="preserve"> HYPERLINK \l "_Toc27685" </w:instrText>
      </w:r>
      <w:r>
        <w:fldChar w:fldCharType="separate"/>
      </w:r>
      <w:r>
        <w:rPr>
          <w:rFonts w:hint="eastAsia"/>
        </w:rPr>
        <w:t>第二章  谈判文件</w:t>
      </w:r>
      <w:r>
        <w:tab/>
      </w:r>
      <w:r>
        <w:fldChar w:fldCharType="begin"/>
      </w:r>
      <w:r>
        <w:instrText xml:space="preserve"> PAGEREF _Toc27685 </w:instrText>
      </w:r>
      <w:r>
        <w:fldChar w:fldCharType="separate"/>
      </w:r>
      <w:r>
        <w:t>5</w:t>
      </w:r>
      <w:r>
        <w:fldChar w:fldCharType="end"/>
      </w:r>
      <w:r>
        <w:fldChar w:fldCharType="end"/>
      </w:r>
    </w:p>
    <w:p>
      <w:pPr>
        <w:pStyle w:val="16"/>
        <w:tabs>
          <w:tab w:val="right" w:leader="dot" w:pos="9923"/>
          <w:tab w:val="clear" w:pos="9913"/>
        </w:tabs>
      </w:pPr>
      <w:r>
        <w:fldChar w:fldCharType="begin"/>
      </w:r>
      <w:r>
        <w:instrText xml:space="preserve"> HYPERLINK \l "_Toc3935" </w:instrText>
      </w:r>
      <w:r>
        <w:fldChar w:fldCharType="separate"/>
      </w:r>
      <w:r>
        <w:rPr>
          <w:rFonts w:hint="eastAsia" w:hAnsi="宋体"/>
          <w:szCs w:val="28"/>
        </w:rPr>
        <w:t>一、</w:t>
      </w:r>
      <w:r>
        <w:rPr>
          <w:rFonts w:hint="eastAsia"/>
          <w:szCs w:val="22"/>
        </w:rPr>
        <w:t>采购项目需求</w:t>
      </w:r>
      <w:r>
        <w:tab/>
      </w:r>
      <w:r>
        <w:fldChar w:fldCharType="begin"/>
      </w:r>
      <w:r>
        <w:instrText xml:space="preserve"> PAGEREF _Toc3935 </w:instrText>
      </w:r>
      <w:r>
        <w:fldChar w:fldCharType="separate"/>
      </w:r>
      <w:r>
        <w:t>5</w:t>
      </w:r>
      <w:r>
        <w:fldChar w:fldCharType="end"/>
      </w:r>
      <w:r>
        <w:fldChar w:fldCharType="end"/>
      </w:r>
    </w:p>
    <w:p>
      <w:pPr>
        <w:pStyle w:val="16"/>
        <w:tabs>
          <w:tab w:val="right" w:leader="dot" w:pos="9923"/>
          <w:tab w:val="clear" w:pos="9913"/>
        </w:tabs>
      </w:pPr>
      <w:r>
        <w:fldChar w:fldCharType="begin"/>
      </w:r>
      <w:r>
        <w:instrText xml:space="preserve"> HYPERLINK \l "_Toc9539" </w:instrText>
      </w:r>
      <w:r>
        <w:fldChar w:fldCharType="separate"/>
      </w:r>
      <w:r>
        <w:rPr>
          <w:rFonts w:hint="eastAsia"/>
        </w:rPr>
        <w:t>二、响应文件的编制</w:t>
      </w:r>
      <w:r>
        <w:tab/>
      </w:r>
      <w:r>
        <w:fldChar w:fldCharType="begin"/>
      </w:r>
      <w:r>
        <w:instrText xml:space="preserve"> PAGEREF _Toc9539 </w:instrText>
      </w:r>
      <w:r>
        <w:fldChar w:fldCharType="separate"/>
      </w:r>
      <w:r>
        <w:t>10</w:t>
      </w:r>
      <w:r>
        <w:fldChar w:fldCharType="end"/>
      </w:r>
      <w:r>
        <w:fldChar w:fldCharType="end"/>
      </w:r>
    </w:p>
    <w:p>
      <w:pPr>
        <w:pStyle w:val="16"/>
        <w:tabs>
          <w:tab w:val="right" w:leader="dot" w:pos="9923"/>
          <w:tab w:val="clear" w:pos="9913"/>
        </w:tabs>
      </w:pPr>
      <w:r>
        <w:fldChar w:fldCharType="begin"/>
      </w:r>
      <w:r>
        <w:instrText xml:space="preserve"> HYPERLINK \l "_Toc4116" </w:instrText>
      </w:r>
      <w:r>
        <w:fldChar w:fldCharType="separate"/>
      </w:r>
      <w:r>
        <w:rPr>
          <w:rFonts w:hint="eastAsia"/>
        </w:rPr>
        <w:t>三、谈判</w:t>
      </w:r>
      <w:r>
        <w:tab/>
      </w:r>
      <w:r>
        <w:fldChar w:fldCharType="begin"/>
      </w:r>
      <w:r>
        <w:instrText xml:space="preserve"> PAGEREF _Toc4116 </w:instrText>
      </w:r>
      <w:r>
        <w:fldChar w:fldCharType="separate"/>
      </w:r>
      <w:r>
        <w:t>13</w:t>
      </w:r>
      <w:r>
        <w:fldChar w:fldCharType="end"/>
      </w:r>
      <w:r>
        <w:fldChar w:fldCharType="end"/>
      </w:r>
    </w:p>
    <w:p>
      <w:pPr>
        <w:pStyle w:val="16"/>
        <w:tabs>
          <w:tab w:val="right" w:leader="dot" w:pos="9923"/>
          <w:tab w:val="clear" w:pos="9913"/>
        </w:tabs>
      </w:pPr>
      <w:r>
        <w:fldChar w:fldCharType="begin"/>
      </w:r>
      <w:r>
        <w:instrText xml:space="preserve"> HYPERLINK \l "_Toc2202" </w:instrText>
      </w:r>
      <w:r>
        <w:fldChar w:fldCharType="separate"/>
      </w:r>
      <w:r>
        <w:rPr>
          <w:rFonts w:hint="eastAsia" w:ascii="仿宋" w:hAnsi="仿宋" w:eastAsia="仿宋" w:cs="仿宋"/>
          <w:kern w:val="0"/>
          <w:szCs w:val="52"/>
        </w:rPr>
        <w:t>赣州市人民医院</w:t>
      </w:r>
      <w:r>
        <w:tab/>
      </w:r>
      <w:r>
        <w:fldChar w:fldCharType="begin"/>
      </w:r>
      <w:r>
        <w:instrText xml:space="preserve"> PAGEREF _Toc2202 </w:instrText>
      </w:r>
      <w:r>
        <w:fldChar w:fldCharType="separate"/>
      </w:r>
      <w:r>
        <w:t>16</w:t>
      </w:r>
      <w:r>
        <w:fldChar w:fldCharType="end"/>
      </w:r>
      <w:r>
        <w:fldChar w:fldCharType="end"/>
      </w:r>
    </w:p>
    <w:p>
      <w:pPr>
        <w:pStyle w:val="16"/>
        <w:tabs>
          <w:tab w:val="right" w:leader="dot" w:pos="9923"/>
          <w:tab w:val="clear" w:pos="9913"/>
        </w:tabs>
      </w:pPr>
      <w:r>
        <w:fldChar w:fldCharType="begin"/>
      </w:r>
      <w:r>
        <w:instrText xml:space="preserve"> HYPERLINK \l "_Toc30924" </w:instrText>
      </w:r>
      <w:r>
        <w:fldChar w:fldCharType="separate"/>
      </w:r>
      <w:r>
        <w:rPr>
          <w:rFonts w:hint="eastAsia" w:ascii="仿宋" w:hAnsi="仿宋" w:eastAsia="仿宋" w:cs="仿宋"/>
          <w:kern w:val="0"/>
          <w:szCs w:val="52"/>
        </w:rPr>
        <w:t>采购合同</w:t>
      </w:r>
      <w:r>
        <w:tab/>
      </w:r>
      <w:r>
        <w:fldChar w:fldCharType="begin"/>
      </w:r>
      <w:r>
        <w:instrText xml:space="preserve"> PAGEREF _Toc30924 </w:instrText>
      </w:r>
      <w:r>
        <w:fldChar w:fldCharType="separate"/>
      </w:r>
      <w:r>
        <w:t>16</w:t>
      </w:r>
      <w:r>
        <w:fldChar w:fldCharType="end"/>
      </w:r>
      <w:r>
        <w:fldChar w:fldCharType="end"/>
      </w:r>
    </w:p>
    <w:p>
      <w:pPr>
        <w:pStyle w:val="16"/>
        <w:tabs>
          <w:tab w:val="right" w:leader="dot" w:pos="9923"/>
          <w:tab w:val="clear" w:pos="9913"/>
        </w:tabs>
      </w:pPr>
      <w:r>
        <w:fldChar w:fldCharType="begin"/>
      </w:r>
      <w:r>
        <w:instrText xml:space="preserve"> HYPERLINK \l "_Toc19674" </w:instrText>
      </w:r>
      <w:r>
        <w:fldChar w:fldCharType="separate"/>
      </w:r>
      <w:r>
        <w:rPr>
          <w:rFonts w:hint="eastAsia" w:ascii="仿宋" w:hAnsi="仿宋" w:eastAsia="仿宋" w:cs="仿宋"/>
          <w:kern w:val="0"/>
          <w:szCs w:val="32"/>
        </w:rPr>
        <w:t>甲方：赣州市人民医院</w:t>
      </w:r>
      <w:r>
        <w:tab/>
      </w:r>
      <w:r>
        <w:fldChar w:fldCharType="begin"/>
      </w:r>
      <w:r>
        <w:instrText xml:space="preserve"> PAGEREF _Toc19674 </w:instrText>
      </w:r>
      <w:r>
        <w:fldChar w:fldCharType="separate"/>
      </w:r>
      <w:r>
        <w:t>16</w:t>
      </w:r>
      <w:r>
        <w:fldChar w:fldCharType="end"/>
      </w:r>
      <w:r>
        <w:fldChar w:fldCharType="end"/>
      </w:r>
    </w:p>
    <w:p>
      <w:pPr>
        <w:pStyle w:val="16"/>
        <w:tabs>
          <w:tab w:val="right" w:leader="dot" w:pos="9923"/>
          <w:tab w:val="clear" w:pos="9913"/>
        </w:tabs>
      </w:pPr>
      <w:r>
        <w:fldChar w:fldCharType="begin"/>
      </w:r>
      <w:r>
        <w:instrText xml:space="preserve"> HYPERLINK \l "_Toc3314" </w:instrText>
      </w:r>
      <w:r>
        <w:fldChar w:fldCharType="separate"/>
      </w:r>
      <w:r>
        <w:rPr>
          <w:rFonts w:hint="eastAsia" w:ascii="仿宋" w:hAnsi="仿宋" w:eastAsia="仿宋" w:cs="仿宋"/>
          <w:kern w:val="0"/>
          <w:szCs w:val="32"/>
        </w:rPr>
        <w:t>乙方：*****</w:t>
      </w:r>
      <w:r>
        <w:tab/>
      </w:r>
      <w:r>
        <w:fldChar w:fldCharType="begin"/>
      </w:r>
      <w:r>
        <w:instrText xml:space="preserve"> PAGEREF _Toc3314 </w:instrText>
      </w:r>
      <w:r>
        <w:fldChar w:fldCharType="separate"/>
      </w:r>
      <w:r>
        <w:t>16</w:t>
      </w:r>
      <w:r>
        <w:fldChar w:fldCharType="end"/>
      </w:r>
      <w:r>
        <w:fldChar w:fldCharType="end"/>
      </w:r>
    </w:p>
    <w:p>
      <w:pPr>
        <w:pStyle w:val="16"/>
        <w:tabs>
          <w:tab w:val="right" w:leader="dot" w:pos="9923"/>
          <w:tab w:val="clear" w:pos="9913"/>
        </w:tabs>
      </w:pPr>
      <w:r>
        <w:fldChar w:fldCharType="begin"/>
      </w:r>
      <w:r>
        <w:instrText xml:space="preserve"> HYPERLINK \l "_Toc22867" </w:instrText>
      </w:r>
      <w:r>
        <w:fldChar w:fldCharType="separate"/>
      </w:r>
      <w:r>
        <w:rPr>
          <w:rFonts w:hint="eastAsia" w:ascii="仿宋" w:hAnsi="仿宋" w:eastAsia="仿宋" w:cs="仿宋"/>
          <w:kern w:val="0"/>
          <w:szCs w:val="32"/>
        </w:rPr>
        <w:t>签约时间：2021年**月**日</w:t>
      </w:r>
      <w:r>
        <w:tab/>
      </w:r>
      <w:r>
        <w:fldChar w:fldCharType="begin"/>
      </w:r>
      <w:r>
        <w:instrText xml:space="preserve"> PAGEREF _Toc22867 </w:instrText>
      </w:r>
      <w:r>
        <w:fldChar w:fldCharType="separate"/>
      </w:r>
      <w:r>
        <w:t>16</w:t>
      </w:r>
      <w:r>
        <w:fldChar w:fldCharType="end"/>
      </w:r>
      <w:r>
        <w:fldChar w:fldCharType="end"/>
      </w:r>
    </w:p>
    <w:p>
      <w:pPr>
        <w:pStyle w:val="16"/>
        <w:tabs>
          <w:tab w:val="right" w:leader="dot" w:pos="9923"/>
          <w:tab w:val="clear" w:pos="9913"/>
        </w:tabs>
      </w:pPr>
      <w:r>
        <w:fldChar w:fldCharType="begin"/>
      </w:r>
      <w:r>
        <w:instrText xml:space="preserve"> HYPERLINK \l "_Toc18912" </w:instrText>
      </w:r>
      <w:r>
        <w:fldChar w:fldCharType="separate"/>
      </w:r>
      <w:r>
        <w:rPr>
          <w:rFonts w:hint="eastAsia" w:ascii="仿宋" w:hAnsi="仿宋" w:eastAsia="仿宋" w:cs="仿宋"/>
          <w:kern w:val="0"/>
          <w:szCs w:val="32"/>
        </w:rPr>
        <w:t>签约地点：赣州市人民医院</w:t>
      </w:r>
      <w:r>
        <w:tab/>
      </w:r>
      <w:r>
        <w:fldChar w:fldCharType="begin"/>
      </w:r>
      <w:r>
        <w:instrText xml:space="preserve"> PAGEREF _Toc18912 </w:instrText>
      </w:r>
      <w:r>
        <w:fldChar w:fldCharType="separate"/>
      </w:r>
      <w:r>
        <w:t>16</w:t>
      </w:r>
      <w:r>
        <w:fldChar w:fldCharType="end"/>
      </w:r>
      <w:r>
        <w:fldChar w:fldCharType="end"/>
      </w:r>
    </w:p>
    <w:p>
      <w:pPr>
        <w:pStyle w:val="16"/>
        <w:tabs>
          <w:tab w:val="right" w:leader="dot" w:pos="9923"/>
          <w:tab w:val="clear" w:pos="9913"/>
        </w:tabs>
      </w:pPr>
      <w:r>
        <w:fldChar w:fldCharType="begin"/>
      </w:r>
      <w:r>
        <w:instrText xml:space="preserve"> HYPERLINK \l "_Toc17436" </w:instrText>
      </w:r>
      <w:r>
        <w:fldChar w:fldCharType="separate"/>
      </w:r>
      <w:r>
        <w:rPr>
          <w:rFonts w:hint="eastAsia"/>
        </w:rPr>
        <w:t>1. 谈判响应书</w:t>
      </w:r>
      <w:r>
        <w:tab/>
      </w:r>
      <w:r>
        <w:fldChar w:fldCharType="begin"/>
      </w:r>
      <w:r>
        <w:instrText xml:space="preserve"> PAGEREF _Toc17436 </w:instrText>
      </w:r>
      <w:r>
        <w:fldChar w:fldCharType="separate"/>
      </w:r>
      <w:r>
        <w:t>21</w:t>
      </w:r>
      <w:r>
        <w:fldChar w:fldCharType="end"/>
      </w:r>
      <w:r>
        <w:fldChar w:fldCharType="end"/>
      </w:r>
    </w:p>
    <w:p>
      <w:pPr>
        <w:pStyle w:val="16"/>
        <w:tabs>
          <w:tab w:val="right" w:leader="dot" w:pos="9923"/>
          <w:tab w:val="clear" w:pos="9913"/>
        </w:tabs>
      </w:pPr>
      <w:r>
        <w:fldChar w:fldCharType="begin"/>
      </w:r>
      <w:r>
        <w:instrText xml:space="preserve"> HYPERLINK \l "_Toc19180" </w:instrText>
      </w:r>
      <w:r>
        <w:fldChar w:fldCharType="separate"/>
      </w:r>
      <w:r>
        <w:rPr>
          <w:rFonts w:hint="eastAsia"/>
        </w:rPr>
        <w:t>2．报价表</w:t>
      </w:r>
      <w:r>
        <w:tab/>
      </w:r>
      <w:r>
        <w:fldChar w:fldCharType="begin"/>
      </w:r>
      <w:r>
        <w:instrText xml:space="preserve"> PAGEREF _Toc19180 </w:instrText>
      </w:r>
      <w:r>
        <w:fldChar w:fldCharType="separate"/>
      </w:r>
      <w:r>
        <w:t>22</w:t>
      </w:r>
      <w:r>
        <w:fldChar w:fldCharType="end"/>
      </w:r>
      <w:r>
        <w:fldChar w:fldCharType="end"/>
      </w:r>
    </w:p>
    <w:p>
      <w:pPr>
        <w:pStyle w:val="16"/>
        <w:tabs>
          <w:tab w:val="right" w:leader="dot" w:pos="9923"/>
          <w:tab w:val="clear" w:pos="9913"/>
        </w:tabs>
      </w:pPr>
      <w:r>
        <w:fldChar w:fldCharType="begin"/>
      </w:r>
      <w:r>
        <w:instrText xml:space="preserve"> HYPERLINK \l "_Toc2660" </w:instrText>
      </w:r>
      <w:r>
        <w:fldChar w:fldCharType="separate"/>
      </w:r>
      <w:r>
        <w:rPr>
          <w:rFonts w:hint="eastAsia"/>
        </w:rPr>
        <w:t>3．分项报价表</w:t>
      </w:r>
      <w:r>
        <w:tab/>
      </w:r>
      <w:r>
        <w:fldChar w:fldCharType="begin"/>
      </w:r>
      <w:r>
        <w:instrText xml:space="preserve"> PAGEREF _Toc2660 </w:instrText>
      </w:r>
      <w:r>
        <w:fldChar w:fldCharType="separate"/>
      </w:r>
      <w:r>
        <w:t>23</w:t>
      </w:r>
      <w:r>
        <w:fldChar w:fldCharType="end"/>
      </w:r>
      <w:r>
        <w:fldChar w:fldCharType="end"/>
      </w:r>
    </w:p>
    <w:p>
      <w:pPr>
        <w:pStyle w:val="16"/>
        <w:tabs>
          <w:tab w:val="right" w:leader="dot" w:pos="9923"/>
          <w:tab w:val="clear" w:pos="9913"/>
        </w:tabs>
      </w:pPr>
      <w:r>
        <w:fldChar w:fldCharType="begin"/>
      </w:r>
      <w:r>
        <w:instrText xml:space="preserve"> HYPERLINK \l "_Toc29424" </w:instrText>
      </w:r>
      <w:r>
        <w:fldChar w:fldCharType="separate"/>
      </w:r>
      <w:r>
        <w:rPr>
          <w:rFonts w:hint="eastAsia"/>
        </w:rPr>
        <w:t>4</w:t>
      </w:r>
      <w:r>
        <w:t>.</w:t>
      </w:r>
      <w:r>
        <w:rPr>
          <w:rFonts w:hint="eastAsia"/>
        </w:rPr>
        <w:t xml:space="preserve"> 技术规格响应/偏离表</w:t>
      </w:r>
      <w:r>
        <w:tab/>
      </w:r>
      <w:r>
        <w:fldChar w:fldCharType="begin"/>
      </w:r>
      <w:r>
        <w:instrText xml:space="preserve"> PAGEREF _Toc29424 </w:instrText>
      </w:r>
      <w:r>
        <w:fldChar w:fldCharType="separate"/>
      </w:r>
      <w:r>
        <w:t>24</w:t>
      </w:r>
      <w:r>
        <w:fldChar w:fldCharType="end"/>
      </w:r>
      <w:r>
        <w:fldChar w:fldCharType="end"/>
      </w:r>
    </w:p>
    <w:p>
      <w:pPr>
        <w:pStyle w:val="16"/>
        <w:tabs>
          <w:tab w:val="right" w:leader="dot" w:pos="9923"/>
          <w:tab w:val="clear" w:pos="9913"/>
        </w:tabs>
      </w:pPr>
      <w:r>
        <w:fldChar w:fldCharType="begin"/>
      </w:r>
      <w:r>
        <w:instrText xml:space="preserve"> HYPERLINK \l "_Toc7261" </w:instrText>
      </w:r>
      <w:r>
        <w:fldChar w:fldCharType="separate"/>
      </w:r>
      <w:r>
        <w:rPr>
          <w:rFonts w:hint="eastAsia"/>
        </w:rPr>
        <w:t>5</w:t>
      </w:r>
      <w:r>
        <w:t>.</w:t>
      </w:r>
      <w:r>
        <w:rPr>
          <w:rFonts w:hint="eastAsia"/>
        </w:rPr>
        <w:t xml:space="preserve"> 商务条款响应/偏离表</w:t>
      </w:r>
      <w:r>
        <w:tab/>
      </w:r>
      <w:r>
        <w:fldChar w:fldCharType="begin"/>
      </w:r>
      <w:r>
        <w:instrText xml:space="preserve"> PAGEREF _Toc7261 </w:instrText>
      </w:r>
      <w:r>
        <w:fldChar w:fldCharType="separate"/>
      </w:r>
      <w:r>
        <w:t>25</w:t>
      </w:r>
      <w:r>
        <w:fldChar w:fldCharType="end"/>
      </w:r>
      <w:r>
        <w:fldChar w:fldCharType="end"/>
      </w:r>
    </w:p>
    <w:p>
      <w:pPr>
        <w:pStyle w:val="16"/>
        <w:tabs>
          <w:tab w:val="right" w:leader="dot" w:pos="9923"/>
          <w:tab w:val="clear" w:pos="9913"/>
        </w:tabs>
      </w:pPr>
      <w:r>
        <w:fldChar w:fldCharType="begin"/>
      </w:r>
      <w:r>
        <w:instrText xml:space="preserve"> HYPERLINK \l "_Toc12055" </w:instrText>
      </w:r>
      <w:r>
        <w:fldChar w:fldCharType="separate"/>
      </w:r>
      <w:r>
        <w:rPr>
          <w:rFonts w:hint="eastAsia"/>
        </w:rPr>
        <w:t>6</w:t>
      </w:r>
      <w:r>
        <w:t>.</w:t>
      </w:r>
      <w:r>
        <w:rPr>
          <w:rFonts w:hint="eastAsia"/>
        </w:rPr>
        <w:t xml:space="preserve"> 其他证明资料</w:t>
      </w:r>
      <w:r>
        <w:tab/>
      </w:r>
      <w:r>
        <w:fldChar w:fldCharType="begin"/>
      </w:r>
      <w:r>
        <w:instrText xml:space="preserve"> PAGEREF _Toc12055 </w:instrText>
      </w:r>
      <w:r>
        <w:fldChar w:fldCharType="separate"/>
      </w:r>
      <w:r>
        <w:t>26</w:t>
      </w:r>
      <w:r>
        <w:fldChar w:fldCharType="end"/>
      </w:r>
      <w:r>
        <w:fldChar w:fldCharType="end"/>
      </w:r>
    </w:p>
    <w:p>
      <w:pPr>
        <w:pStyle w:val="16"/>
        <w:tabs>
          <w:tab w:val="right" w:leader="dot" w:pos="9923"/>
          <w:tab w:val="clear" w:pos="9913"/>
        </w:tabs>
      </w:pPr>
      <w:r>
        <w:fldChar w:fldCharType="begin"/>
      </w:r>
      <w:r>
        <w:instrText xml:space="preserve"> HYPERLINK \l "_Toc24922" </w:instrText>
      </w:r>
      <w:r>
        <w:fldChar w:fldCharType="separate"/>
      </w:r>
      <w:r>
        <w:rPr>
          <w:rFonts w:hint="eastAsia"/>
        </w:rPr>
        <w:t>7</w:t>
      </w:r>
      <w:r>
        <w:t>.</w:t>
      </w:r>
      <w:r>
        <w:rPr>
          <w:rFonts w:hint="eastAsia"/>
        </w:rPr>
        <w:t>技术文件</w:t>
      </w:r>
      <w:r>
        <w:tab/>
      </w:r>
      <w:r>
        <w:fldChar w:fldCharType="begin"/>
      </w:r>
      <w:r>
        <w:instrText xml:space="preserve"> PAGEREF _Toc24922 </w:instrText>
      </w:r>
      <w:r>
        <w:fldChar w:fldCharType="separate"/>
      </w:r>
      <w:r>
        <w:t>28</w:t>
      </w:r>
      <w:r>
        <w:fldChar w:fldCharType="end"/>
      </w:r>
      <w:r>
        <w:fldChar w:fldCharType="end"/>
      </w:r>
    </w:p>
    <w:p>
      <w:pPr>
        <w:pStyle w:val="16"/>
        <w:tabs>
          <w:tab w:val="right" w:leader="dot" w:pos="9923"/>
          <w:tab w:val="clear" w:pos="9913"/>
        </w:tabs>
      </w:pPr>
      <w:r>
        <w:fldChar w:fldCharType="begin"/>
      </w:r>
      <w:r>
        <w:instrText xml:space="preserve"> HYPERLINK \l "_Toc1259" </w:instrText>
      </w:r>
      <w:r>
        <w:fldChar w:fldCharType="separate"/>
      </w:r>
      <w:r>
        <w:rPr>
          <w:rFonts w:hint="eastAsia"/>
        </w:rPr>
        <w:t>8</w:t>
      </w:r>
      <w:r>
        <w:t>.</w:t>
      </w:r>
      <w:r>
        <w:rPr>
          <w:rFonts w:hint="eastAsia"/>
        </w:rPr>
        <w:t>供应商应当提交的资格、资信证明文件</w:t>
      </w:r>
      <w:r>
        <w:tab/>
      </w:r>
      <w:r>
        <w:fldChar w:fldCharType="begin"/>
      </w:r>
      <w:r>
        <w:instrText xml:space="preserve"> PAGEREF _Toc1259 </w:instrText>
      </w:r>
      <w:r>
        <w:fldChar w:fldCharType="separate"/>
      </w:r>
      <w:r>
        <w:t>29</w:t>
      </w:r>
      <w:r>
        <w:fldChar w:fldCharType="end"/>
      </w:r>
      <w:r>
        <w:fldChar w:fldCharType="end"/>
      </w:r>
    </w:p>
    <w:p>
      <w:pPr>
        <w:pStyle w:val="16"/>
        <w:rPr>
          <w:rStyle w:val="21"/>
          <w:rFonts w:asciiTheme="minorEastAsia" w:hAnsiTheme="minorEastAsia" w:eastAsiaTheme="minorEastAsia"/>
          <w:b w:val="0"/>
          <w:color w:val="auto"/>
        </w:rPr>
      </w:pPr>
      <w:r>
        <w:rPr>
          <w:rFonts w:asciiTheme="minorEastAsia" w:hAnsiTheme="minorEastAsia" w:eastAsiaTheme="minorEastAsia"/>
          <w:shd w:val="pct10" w:color="auto" w:fill="FFFFFF"/>
        </w:rPr>
        <w:fldChar w:fldCharType="end"/>
      </w:r>
    </w:p>
    <w:p>
      <w:pPr>
        <w:pStyle w:val="16"/>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3"/>
        <w:spacing w:before="240" w:after="240"/>
        <w:jc w:val="center"/>
        <w:rPr>
          <w:b/>
          <w:sz w:val="32"/>
        </w:rPr>
      </w:pPr>
      <w:bookmarkStart w:id="0" w:name="_Toc30481"/>
      <w:r>
        <w:rPr>
          <w:rFonts w:hint="eastAsia"/>
          <w:b/>
          <w:sz w:val="32"/>
        </w:rPr>
        <w:t>第一章　谈判公告</w:t>
      </w:r>
      <w:bookmarkEnd w:id="0"/>
    </w:p>
    <w:p/>
    <w:p>
      <w:pPr>
        <w:pStyle w:val="12"/>
        <w:spacing w:line="460" w:lineRule="exact"/>
        <w:ind w:firstLine="600"/>
        <w:rPr>
          <w:rFonts w:ascii="宋体" w:hAnsi="宋体" w:cs="宋体"/>
          <w:sz w:val="30"/>
          <w:szCs w:val="30"/>
        </w:rPr>
      </w:pPr>
      <w:r>
        <w:rPr>
          <w:rFonts w:hint="eastAsia" w:ascii="宋体" w:hAnsi="宋体" w:cs="宋体"/>
          <w:sz w:val="30"/>
          <w:szCs w:val="30"/>
        </w:rPr>
        <w:t>赣州市人民医院近期将对全院水电材料采购项目(</w:t>
      </w:r>
      <w:r>
        <w:rPr>
          <w:rFonts w:hint="eastAsia" w:ascii="宋体" w:hAnsi="宋体" w:cs="宋体"/>
          <w:sz w:val="30"/>
          <w:szCs w:val="30"/>
          <w:lang w:eastAsia="zh-CN"/>
        </w:rPr>
        <w:t>项目编号：</w:t>
      </w:r>
      <w:r>
        <w:rPr>
          <w:rFonts w:hint="eastAsia" w:ascii="宋体" w:hAnsi="宋体" w:cs="宋体"/>
          <w:sz w:val="30"/>
          <w:szCs w:val="30"/>
        </w:rPr>
        <w:t>YN2021-006)进行竞争性谈判采购。欢迎符合资格条件的供应商前来参加。</w:t>
      </w:r>
    </w:p>
    <w:p>
      <w:pPr>
        <w:pStyle w:val="12"/>
        <w:spacing w:line="460" w:lineRule="exact"/>
        <w:ind w:firstLine="602"/>
        <w:rPr>
          <w:rFonts w:hint="eastAsia"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YN2021-00</w:t>
      </w:r>
      <w:r>
        <w:rPr>
          <w:rFonts w:hint="eastAsia" w:ascii="宋体" w:hAnsi="宋体" w:cs="宋体"/>
          <w:sz w:val="30"/>
          <w:szCs w:val="30"/>
          <w:lang w:val="en-US" w:eastAsia="zh-CN"/>
        </w:rPr>
        <w:t>6</w:t>
      </w:r>
    </w:p>
    <w:p>
      <w:pPr>
        <w:pStyle w:val="12"/>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2"/>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23"/>
        <w:tblW w:w="970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center"/>
            </w:pPr>
            <w:r>
              <w:rPr>
                <w:rFonts w:hint="eastAsia"/>
                <w:bCs/>
                <w:sz w:val="30"/>
                <w:szCs w:val="30"/>
              </w:rPr>
              <w:t>全院水电材料采购项目</w:t>
            </w:r>
          </w:p>
        </w:tc>
        <w:tc>
          <w:tcPr>
            <w:tcW w:w="780"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300" w:firstLineChars="100"/>
              <w:jc w:val="both"/>
            </w:pPr>
            <w:r>
              <w:rPr>
                <w:rFonts w:hint="eastAsia"/>
                <w:sz w:val="30"/>
                <w:szCs w:val="30"/>
              </w:rPr>
              <w:t>1</w:t>
            </w:r>
          </w:p>
        </w:tc>
        <w:tc>
          <w:tcPr>
            <w:tcW w:w="827"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300" w:firstLineChars="100"/>
              <w:jc w:val="both"/>
            </w:pPr>
            <w:r>
              <w:rPr>
                <w:rFonts w:hint="eastAsia"/>
                <w:sz w:val="30"/>
                <w:szCs w:val="30"/>
              </w:rPr>
              <w:t>批</w:t>
            </w:r>
          </w:p>
        </w:tc>
        <w:tc>
          <w:tcPr>
            <w:tcW w:w="4232"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600" w:firstLineChars="200"/>
              <w:jc w:val="center"/>
            </w:pPr>
            <w:r>
              <w:rPr>
                <w:rFonts w:hint="eastAsia"/>
                <w:sz w:val="30"/>
                <w:szCs w:val="30"/>
              </w:rPr>
              <w:t>详见采购需求</w:t>
            </w:r>
          </w:p>
        </w:tc>
        <w:tc>
          <w:tcPr>
            <w:tcW w:w="1797"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300" w:firstLineChars="100"/>
              <w:jc w:val="both"/>
            </w:pPr>
            <w:r>
              <w:rPr>
                <w:rFonts w:hint="eastAsia"/>
                <w:bCs/>
                <w:sz w:val="30"/>
                <w:szCs w:val="30"/>
              </w:rPr>
              <w:t>275905元</w:t>
            </w:r>
          </w:p>
        </w:tc>
      </w:tr>
    </w:tbl>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Pr>
          <w:rFonts w:hint="eastAsia"/>
          <w:kern w:val="2"/>
          <w:sz w:val="30"/>
          <w:szCs w:val="30"/>
          <w:lang w:val="en-US" w:eastAsia="zh-CN"/>
        </w:rPr>
        <w:t>02</w:t>
      </w:r>
      <w:r>
        <w:rPr>
          <w:rFonts w:hint="eastAsia"/>
          <w:kern w:val="2"/>
          <w:sz w:val="30"/>
          <w:szCs w:val="30"/>
        </w:rPr>
        <w:t>月</w:t>
      </w:r>
      <w:r>
        <w:rPr>
          <w:rFonts w:hint="eastAsia"/>
          <w:kern w:val="2"/>
          <w:sz w:val="30"/>
          <w:szCs w:val="30"/>
          <w:lang w:val="en-US" w:eastAsia="zh-CN"/>
        </w:rPr>
        <w:t>18</w:t>
      </w:r>
      <w:r>
        <w:rPr>
          <w:rFonts w:hint="eastAsia"/>
          <w:kern w:val="2"/>
          <w:sz w:val="30"/>
          <w:szCs w:val="30"/>
        </w:rPr>
        <w:t>日）起</w:t>
      </w:r>
      <w:r>
        <w:rPr>
          <w:rFonts w:hint="eastAsia"/>
          <w:kern w:val="2"/>
          <w:sz w:val="30"/>
          <w:szCs w:val="30"/>
          <w:lang w:eastAsia="zh-CN"/>
        </w:rPr>
        <w:t>四</w:t>
      </w:r>
      <w:r>
        <w:rPr>
          <w:rFonts w:hint="eastAsia"/>
          <w:kern w:val="2"/>
          <w:sz w:val="30"/>
          <w:szCs w:val="30"/>
        </w:rPr>
        <w:t>个工作日。</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（七）谈判文件的取得：</w:t>
      </w:r>
      <w:r>
        <w:rPr>
          <w:rFonts w:hint="eastAsia"/>
          <w:kern w:val="2"/>
          <w:sz w:val="30"/>
          <w:szCs w:val="30"/>
        </w:rPr>
        <w:t>2021年</w:t>
      </w:r>
      <w:r>
        <w:rPr>
          <w:rFonts w:hint="eastAsia"/>
          <w:kern w:val="2"/>
          <w:sz w:val="30"/>
          <w:szCs w:val="30"/>
          <w:lang w:val="en-US" w:eastAsia="zh-CN"/>
        </w:rPr>
        <w:t>02</w:t>
      </w:r>
      <w:r>
        <w:rPr>
          <w:rFonts w:hint="eastAsia"/>
          <w:kern w:val="2"/>
          <w:sz w:val="30"/>
          <w:szCs w:val="30"/>
        </w:rPr>
        <w:t>月</w:t>
      </w:r>
      <w:r>
        <w:rPr>
          <w:rFonts w:hint="eastAsia"/>
          <w:kern w:val="2"/>
          <w:sz w:val="30"/>
          <w:szCs w:val="30"/>
          <w:lang w:val="en-US" w:eastAsia="zh-CN"/>
        </w:rPr>
        <w:t>19</w:t>
      </w:r>
      <w:r>
        <w:rPr>
          <w:rFonts w:hint="eastAsia"/>
          <w:kern w:val="2"/>
          <w:sz w:val="30"/>
          <w:szCs w:val="30"/>
        </w:rPr>
        <w:t>日至2021年</w:t>
      </w:r>
      <w:r>
        <w:rPr>
          <w:rFonts w:hint="eastAsia"/>
          <w:kern w:val="2"/>
          <w:sz w:val="30"/>
          <w:szCs w:val="30"/>
          <w:lang w:val="en-US" w:eastAsia="zh-CN"/>
        </w:rPr>
        <w:t>02</w:t>
      </w:r>
      <w:r>
        <w:rPr>
          <w:rFonts w:hint="eastAsia"/>
          <w:kern w:val="2"/>
          <w:sz w:val="30"/>
          <w:szCs w:val="30"/>
        </w:rPr>
        <w:t>月</w:t>
      </w:r>
      <w:r>
        <w:rPr>
          <w:rFonts w:hint="eastAsia"/>
          <w:kern w:val="2"/>
          <w:sz w:val="30"/>
          <w:szCs w:val="30"/>
          <w:lang w:val="en-US" w:eastAsia="zh-CN"/>
        </w:rPr>
        <w:t>23</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2021年</w:t>
      </w:r>
      <w:r>
        <w:rPr>
          <w:rFonts w:hint="eastAsia"/>
          <w:kern w:val="2"/>
          <w:sz w:val="30"/>
          <w:szCs w:val="30"/>
          <w:lang w:val="en-US" w:eastAsia="zh-CN"/>
        </w:rPr>
        <w:t>02</w:t>
      </w:r>
      <w:r>
        <w:rPr>
          <w:rFonts w:hint="eastAsia"/>
          <w:kern w:val="2"/>
          <w:sz w:val="30"/>
          <w:szCs w:val="30"/>
        </w:rPr>
        <w:t>月</w:t>
      </w:r>
      <w:r>
        <w:rPr>
          <w:rFonts w:hint="eastAsia"/>
          <w:kern w:val="2"/>
          <w:sz w:val="30"/>
          <w:szCs w:val="30"/>
          <w:lang w:val="en-US" w:eastAsia="zh-CN"/>
        </w:rPr>
        <w:t>24</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8"/>
        <w:shd w:val="clear"/>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响应供应商的响应保证金足额一次性缴纳人民币伍仟元整</w:t>
      </w:r>
      <w:r>
        <w:rPr>
          <w:rFonts w:hint="eastAsia"/>
          <w:color w:val="auto"/>
          <w:kern w:val="2"/>
          <w:sz w:val="30"/>
          <w:szCs w:val="30"/>
        </w:rPr>
        <w:t>，须在开标当天上午8：00前到账，投标人</w:t>
      </w:r>
      <w:r>
        <w:rPr>
          <w:rFonts w:hint="eastAsia"/>
          <w:color w:val="auto"/>
          <w:kern w:val="2"/>
          <w:sz w:val="30"/>
          <w:szCs w:val="30"/>
          <w:highlight w:val="yellow"/>
          <w:shd w:val="clear" w:color="FFFFFF" w:fill="D9D9D9"/>
        </w:rPr>
        <w:t>须</w:t>
      </w:r>
      <w:r>
        <w:rPr>
          <w:rFonts w:hint="eastAsia"/>
          <w:color w:val="auto"/>
          <w:kern w:val="2"/>
          <w:sz w:val="30"/>
          <w:szCs w:val="30"/>
        </w:rPr>
        <w:t>按照竞争性谈判文件要求提交投标保证金。从响应供应商（不得以分支机构等其他名义转入）的基本账户转入医院的指定帐户（单位名称:赣州市人民医院；账号:1510220109026473030；开户银行:工商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w:t>
      </w:r>
      <w:r>
        <w:rPr>
          <w:rFonts w:hint="eastAsia"/>
          <w:kern w:val="2"/>
          <w:sz w:val="30"/>
          <w:szCs w:val="30"/>
          <w:shd w:val="clear"/>
        </w:rPr>
        <w:t>履约保证</w:t>
      </w:r>
      <w:r>
        <w:rPr>
          <w:rFonts w:hint="eastAsia"/>
          <w:kern w:val="2"/>
          <w:sz w:val="30"/>
          <w:szCs w:val="30"/>
        </w:rPr>
        <w:t>金按成交金额的10%缴纳，不足部分在合同签订前补齐，货物验收合格后质保期结束时一次性无息退还。</w:t>
      </w:r>
    </w:p>
    <w:p>
      <w:pPr>
        <w:pStyle w:val="18"/>
        <w:shd w:val="clear"/>
        <w:spacing w:before="0" w:beforeAutospacing="0" w:after="0" w:afterAutospacing="0" w:line="460" w:lineRule="exact"/>
        <w:ind w:firstLine="602" w:firstLineChars="200"/>
        <w:jc w:val="both"/>
        <w:rPr>
          <w:kern w:val="2"/>
          <w:sz w:val="30"/>
          <w:szCs w:val="30"/>
        </w:rPr>
      </w:pPr>
      <w:r>
        <w:rPr>
          <w:rFonts w:hint="eastAsia"/>
          <w:b/>
          <w:bCs/>
          <w:kern w:val="2"/>
          <w:sz w:val="30"/>
          <w:szCs w:val="30"/>
        </w:rPr>
        <w:t>（十）报价：</w:t>
      </w:r>
      <w:r>
        <w:rPr>
          <w:rFonts w:hint="eastAsia"/>
          <w:sz w:val="30"/>
          <w:szCs w:val="30"/>
        </w:rPr>
        <w:t>报价形式采用按</w:t>
      </w:r>
      <w:r>
        <w:rPr>
          <w:rFonts w:hint="eastAsia"/>
          <w:sz w:val="30"/>
          <w:szCs w:val="30"/>
          <w:highlight w:val="cyan"/>
        </w:rPr>
        <w:t>单价</w:t>
      </w:r>
      <w:r>
        <w:rPr>
          <w:rFonts w:hint="eastAsia"/>
          <w:sz w:val="30"/>
          <w:szCs w:val="30"/>
        </w:rPr>
        <w:t>整体折扣率报价（四舍五入保留小数点后两位数），</w:t>
      </w:r>
      <w:r>
        <w:rPr>
          <w:rFonts w:hint="eastAsia"/>
          <w:color w:val="auto"/>
          <w:sz w:val="30"/>
          <w:szCs w:val="30"/>
        </w:rPr>
        <w:t>报价中包含运杂、装卸、包装、保险、税费、售后服务等以及国家规定的各项费用等一切费用。</w:t>
      </w:r>
      <w:r>
        <w:rPr>
          <w:rFonts w:hint="eastAsia"/>
          <w:sz w:val="30"/>
          <w:szCs w:val="30"/>
        </w:rPr>
        <w:t>各投标人须结合采购方所提供的单价报出投标折扣率，投标报价一律填写统一折扣率（如打八折，折扣率为80%）。</w:t>
      </w:r>
    </w:p>
    <w:p>
      <w:pPr>
        <w:pStyle w:val="18"/>
        <w:shd w:val="clear"/>
        <w:spacing w:before="0" w:beforeAutospacing="0" w:after="0" w:afterAutospacing="0" w:line="460" w:lineRule="exact"/>
        <w:ind w:firstLine="602" w:firstLineChars="200"/>
        <w:jc w:val="both"/>
        <w:rPr>
          <w:rFonts w:hint="eastAsia" w:eastAsia="宋体"/>
          <w:kern w:val="2"/>
          <w:sz w:val="30"/>
          <w:szCs w:val="30"/>
          <w:shd w:val="clear" w:fill="FFFF00"/>
          <w:lang w:eastAsia="zh-CN"/>
        </w:rPr>
      </w:pPr>
      <w:r>
        <w:rPr>
          <w:rFonts w:hint="eastAsia"/>
          <w:b/>
          <w:bCs/>
          <w:kern w:val="2"/>
          <w:sz w:val="30"/>
          <w:szCs w:val="30"/>
        </w:rPr>
        <w:t>（十一）付款方法：</w:t>
      </w:r>
      <w:r>
        <w:rPr>
          <w:rFonts w:hint="eastAsia"/>
          <w:sz w:val="30"/>
          <w:szCs w:val="30"/>
          <w:highlight w:val="cyan"/>
          <w:shd w:val="clear" w:fill="FFFF00"/>
        </w:rPr>
        <w:t>费用按实际供货数量、折扣后的单价计算，成交供应商供货完成且经采购人验收合格后提供相应金额</w:t>
      </w:r>
      <w:r>
        <w:rPr>
          <w:rFonts w:hint="eastAsia"/>
          <w:sz w:val="30"/>
          <w:szCs w:val="30"/>
          <w:highlight w:val="cyan"/>
          <w:shd w:val="clear" w:fill="FFFF00"/>
          <w:lang w:eastAsia="zh-CN"/>
        </w:rPr>
        <w:t>的</w:t>
      </w:r>
      <w:r>
        <w:rPr>
          <w:rFonts w:hint="eastAsia"/>
          <w:sz w:val="30"/>
          <w:szCs w:val="30"/>
          <w:highlight w:val="cyan"/>
          <w:shd w:val="clear" w:fill="FFFF00"/>
        </w:rPr>
        <w:t>合法税票</w:t>
      </w:r>
      <w:r>
        <w:rPr>
          <w:rFonts w:hint="eastAsia"/>
          <w:sz w:val="30"/>
          <w:szCs w:val="30"/>
          <w:highlight w:val="cyan"/>
          <w:shd w:val="clear" w:fill="FFFF00"/>
          <w:lang w:eastAsia="zh-CN"/>
        </w:rPr>
        <w:t>。</w:t>
      </w:r>
      <w:r>
        <w:rPr>
          <w:rFonts w:hint="eastAsia"/>
          <w:sz w:val="30"/>
          <w:szCs w:val="30"/>
          <w:highlight w:val="cyan"/>
          <w:shd w:val="clear" w:fill="FFFF00"/>
        </w:rPr>
        <w:t>采购人审核无误后两个月内以转帐方式一次性付清相应金额货款</w:t>
      </w:r>
      <w:r>
        <w:rPr>
          <w:rFonts w:hint="eastAsia"/>
          <w:sz w:val="30"/>
          <w:szCs w:val="30"/>
          <w:highlight w:val="cyan"/>
          <w:shd w:val="clear" w:fill="FFFF00"/>
          <w:lang w:eastAsia="zh-CN"/>
        </w:rPr>
        <w:t>，</w:t>
      </w:r>
      <w:r>
        <w:rPr>
          <w:rFonts w:hint="eastAsia"/>
          <w:sz w:val="30"/>
          <w:szCs w:val="30"/>
          <w:highlight w:val="cyan"/>
          <w:shd w:val="clear"/>
          <w:lang w:eastAsia="zh-CN"/>
        </w:rPr>
        <w:t>不计利息。</w:t>
      </w:r>
    </w:p>
    <w:p>
      <w:pPr>
        <w:pStyle w:val="18"/>
        <w:shd w:val="clear"/>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（十二）已购买谈判文件的供应商，在提交竞谈响应文件的截止时间一日前，未书面通知而放弃响应的，不得再参加该项目的采购活动。</w:t>
      </w:r>
    </w:p>
    <w:p>
      <w:pPr>
        <w:pStyle w:val="18"/>
        <w:shd w:val="clear"/>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（十三）联系方法：</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3"/>
        <w:spacing w:before="240" w:after="240"/>
        <w:jc w:val="center"/>
        <w:rPr>
          <w:b/>
          <w:sz w:val="32"/>
        </w:rPr>
      </w:pPr>
      <w:bookmarkStart w:id="1" w:name="_Toc27685"/>
      <w:r>
        <w:rPr>
          <w:rFonts w:hint="eastAsia"/>
          <w:b/>
          <w:sz w:val="32"/>
        </w:rPr>
        <w:t xml:space="preserve">第二章  </w:t>
      </w:r>
      <w:bookmarkStart w:id="2" w:name="_Toc533775667"/>
      <w:r>
        <w:rPr>
          <w:rFonts w:hint="eastAsia"/>
          <w:b/>
          <w:sz w:val="32"/>
        </w:rPr>
        <w:t>谈判文件</w:t>
      </w:r>
      <w:bookmarkEnd w:id="1"/>
      <w:bookmarkEnd w:id="2"/>
    </w:p>
    <w:p>
      <w:pPr>
        <w:pStyle w:val="3"/>
        <w:spacing w:before="240" w:after="240"/>
        <w:jc w:val="center"/>
        <w:rPr>
          <w:b/>
          <w:sz w:val="32"/>
          <w:szCs w:val="22"/>
        </w:rPr>
      </w:pPr>
      <w:bookmarkStart w:id="3" w:name="_Toc505076492"/>
      <w:bookmarkStart w:id="4" w:name="_Toc505076493"/>
      <w:bookmarkStart w:id="5" w:name="_Toc3935"/>
      <w:bookmarkStart w:id="6" w:name="_Toc501101639"/>
      <w:bookmarkStart w:id="7" w:name="_Toc495487710"/>
      <w:bookmarkStart w:id="8" w:name="_Toc499477410"/>
      <w:r>
        <w:rPr>
          <w:rFonts w:hint="eastAsia" w:hAnsi="宋体"/>
          <w:szCs w:val="28"/>
        </w:rPr>
        <w:t>一、</w:t>
      </w:r>
      <w:bookmarkEnd w:id="3"/>
      <w:r>
        <w:rPr>
          <w:rFonts w:hint="eastAsia"/>
          <w:b/>
          <w:sz w:val="32"/>
          <w:szCs w:val="22"/>
        </w:rPr>
        <w:t>采购项目需求</w:t>
      </w:r>
      <w:bookmarkEnd w:id="4"/>
      <w:bookmarkEnd w:id="5"/>
    </w:p>
    <w:p>
      <w:pPr>
        <w:pStyle w:val="18"/>
        <w:spacing w:before="0" w:beforeAutospacing="0" w:after="0" w:afterAutospacing="0" w:line="460" w:lineRule="exact"/>
        <w:ind w:firstLine="600" w:firstLineChars="200"/>
        <w:jc w:val="both"/>
        <w:rPr>
          <w:kern w:val="2"/>
          <w:sz w:val="30"/>
          <w:szCs w:val="30"/>
        </w:rPr>
      </w:pPr>
    </w:p>
    <w:p>
      <w:pPr>
        <w:spacing w:line="500" w:lineRule="exact"/>
        <w:ind w:firstLine="600" w:firstLineChars="200"/>
        <w:rPr>
          <w:sz w:val="30"/>
          <w:szCs w:val="30"/>
        </w:rPr>
      </w:pPr>
      <w:bookmarkStart w:id="9" w:name="_Toc413574279"/>
      <w:r>
        <w:rPr>
          <w:rFonts w:hint="eastAsia"/>
          <w:sz w:val="30"/>
          <w:szCs w:val="30"/>
        </w:rPr>
        <w:t>1、投标供应商须提供全新、原装，并符合质量标准的货物</w:t>
      </w:r>
      <w:r>
        <w:rPr>
          <w:rFonts w:hint="eastAsia" w:ascii="宋体" w:hAnsi="宋体" w:cs="宋体"/>
          <w:color w:val="000000"/>
          <w:kern w:val="0"/>
          <w:sz w:val="30"/>
          <w:szCs w:val="30"/>
        </w:rPr>
        <w:t>，货物必须通过官网防伪码查询。</w:t>
      </w:r>
    </w:p>
    <w:p>
      <w:pPr>
        <w:pStyle w:val="18"/>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5、交货期：卖方应在《中标通知书》规定的时间内和买方签订正式合同，并在合同签订之日起</w:t>
      </w:r>
      <w:r>
        <w:rPr>
          <w:rFonts w:hint="eastAsia"/>
          <w:b/>
          <w:bCs/>
          <w:kern w:val="2"/>
          <w:sz w:val="30"/>
          <w:szCs w:val="30"/>
        </w:rPr>
        <w:t>30</w:t>
      </w:r>
      <w:r>
        <w:rPr>
          <w:rFonts w:hint="eastAsia"/>
          <w:kern w:val="2"/>
          <w:sz w:val="30"/>
          <w:szCs w:val="30"/>
        </w:rPr>
        <w:t xml:space="preserve">天内完成所有货物的供货。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9"/>
    <w:p>
      <w:pPr>
        <w:pStyle w:val="18"/>
        <w:spacing w:before="0" w:beforeAutospacing="0" w:after="0" w:afterAutospacing="0" w:line="460" w:lineRule="exact"/>
        <w:ind w:firstLine="602" w:firstLineChars="200"/>
        <w:jc w:val="both"/>
        <w:rPr>
          <w:bCs/>
          <w:sz w:val="30"/>
          <w:szCs w:val="30"/>
        </w:rPr>
      </w:pPr>
      <w:r>
        <w:rPr>
          <w:rFonts w:hint="eastAsia"/>
          <w:b/>
          <w:bCs/>
          <w:kern w:val="2"/>
          <w:sz w:val="30"/>
          <w:szCs w:val="30"/>
        </w:rPr>
        <w:t>7、</w:t>
      </w:r>
      <w:r>
        <w:rPr>
          <w:rFonts w:hint="eastAsia"/>
          <w:bCs/>
          <w:sz w:val="30"/>
          <w:szCs w:val="30"/>
        </w:rPr>
        <w:t>采购货物清单、技术参数要求：</w:t>
      </w:r>
    </w:p>
    <w:p>
      <w:pPr>
        <w:pStyle w:val="18"/>
        <w:spacing w:before="0" w:beforeAutospacing="0" w:after="0" w:afterAutospacing="0" w:line="460" w:lineRule="exact"/>
        <w:ind w:firstLine="600" w:firstLineChars="200"/>
        <w:jc w:val="both"/>
        <w:rPr>
          <w:bCs/>
          <w:sz w:val="30"/>
          <w:szCs w:val="30"/>
        </w:rPr>
      </w:pPr>
    </w:p>
    <w:p>
      <w:pPr>
        <w:pStyle w:val="18"/>
        <w:spacing w:before="0" w:beforeAutospacing="0" w:after="0" w:afterAutospacing="0" w:line="460" w:lineRule="exact"/>
        <w:ind w:firstLine="600" w:firstLineChars="200"/>
        <w:jc w:val="both"/>
        <w:rPr>
          <w:bCs/>
          <w:sz w:val="30"/>
          <w:szCs w:val="30"/>
        </w:rPr>
      </w:pPr>
    </w:p>
    <w:p>
      <w:pPr>
        <w:pStyle w:val="18"/>
        <w:spacing w:before="0" w:beforeAutospacing="0" w:after="0" w:afterAutospacing="0" w:line="460" w:lineRule="exact"/>
        <w:ind w:firstLine="600" w:firstLineChars="200"/>
        <w:jc w:val="both"/>
        <w:rPr>
          <w:bCs/>
          <w:sz w:val="30"/>
          <w:szCs w:val="30"/>
        </w:rPr>
      </w:pPr>
    </w:p>
    <w:p>
      <w:pPr>
        <w:pStyle w:val="18"/>
        <w:spacing w:before="0" w:beforeAutospacing="0" w:after="0" w:afterAutospacing="0" w:line="460" w:lineRule="exact"/>
        <w:ind w:firstLine="600" w:firstLineChars="200"/>
        <w:jc w:val="both"/>
        <w:rPr>
          <w:bCs/>
          <w:sz w:val="30"/>
          <w:szCs w:val="30"/>
        </w:rPr>
      </w:pPr>
    </w:p>
    <w:p>
      <w:pPr>
        <w:pStyle w:val="18"/>
        <w:spacing w:before="0" w:beforeAutospacing="0" w:after="0" w:afterAutospacing="0" w:line="460" w:lineRule="exact"/>
        <w:ind w:firstLine="600" w:firstLineChars="200"/>
        <w:jc w:val="both"/>
        <w:rPr>
          <w:bCs/>
          <w:sz w:val="30"/>
          <w:szCs w:val="30"/>
        </w:rPr>
      </w:pPr>
    </w:p>
    <w:p>
      <w:pPr>
        <w:pStyle w:val="18"/>
        <w:spacing w:before="0" w:beforeAutospacing="0" w:after="0" w:afterAutospacing="0" w:line="460" w:lineRule="exact"/>
        <w:ind w:firstLine="600" w:firstLineChars="200"/>
        <w:jc w:val="both"/>
        <w:rPr>
          <w:bCs/>
          <w:sz w:val="30"/>
          <w:szCs w:val="30"/>
        </w:rPr>
      </w:pPr>
    </w:p>
    <w:p>
      <w:pPr>
        <w:pStyle w:val="18"/>
        <w:spacing w:before="0" w:beforeAutospacing="0" w:after="0" w:afterAutospacing="0" w:line="460" w:lineRule="exact"/>
        <w:ind w:firstLine="600" w:firstLineChars="200"/>
        <w:jc w:val="both"/>
        <w:rPr>
          <w:bCs/>
          <w:sz w:val="30"/>
          <w:szCs w:val="30"/>
        </w:rPr>
      </w:pPr>
    </w:p>
    <w:p>
      <w:pPr>
        <w:pStyle w:val="18"/>
        <w:spacing w:before="0" w:beforeAutospacing="0" w:after="0" w:afterAutospacing="0" w:line="460" w:lineRule="exact"/>
        <w:ind w:firstLine="600" w:firstLineChars="200"/>
        <w:jc w:val="both"/>
        <w:rPr>
          <w:bCs/>
          <w:sz w:val="30"/>
          <w:szCs w:val="30"/>
        </w:rPr>
      </w:pPr>
    </w:p>
    <w:p>
      <w:pPr>
        <w:pStyle w:val="18"/>
        <w:spacing w:before="0" w:beforeAutospacing="0" w:after="0" w:afterAutospacing="0" w:line="460" w:lineRule="exact"/>
        <w:jc w:val="both"/>
        <w:rPr>
          <w:bCs/>
          <w:sz w:val="30"/>
          <w:szCs w:val="30"/>
        </w:rPr>
        <w:sectPr>
          <w:footerReference r:id="rId8" w:type="first"/>
          <w:footerReference r:id="rId7" w:type="default"/>
          <w:pgSz w:w="11907" w:h="16840"/>
          <w:pgMar w:top="1474" w:right="850" w:bottom="1474" w:left="1134" w:header="720" w:footer="720" w:gutter="0"/>
          <w:cols w:space="720" w:num="1"/>
          <w:titlePg/>
          <w:docGrid w:linePitch="285" w:charSpace="0"/>
        </w:sectPr>
      </w:pPr>
    </w:p>
    <w:tbl>
      <w:tblPr>
        <w:tblStyle w:val="23"/>
        <w:tblpPr w:leftFromText="180" w:rightFromText="180" w:vertAnchor="text" w:horzAnchor="page" w:tblpX="1425" w:tblpY="444"/>
        <w:tblOverlap w:val="never"/>
        <w:tblW w:w="14055" w:type="dxa"/>
        <w:tblInd w:w="0" w:type="dxa"/>
        <w:tblLayout w:type="fixed"/>
        <w:tblCellMar>
          <w:top w:w="0" w:type="dxa"/>
          <w:left w:w="0" w:type="dxa"/>
          <w:bottom w:w="0" w:type="dxa"/>
          <w:right w:w="0" w:type="dxa"/>
        </w:tblCellMar>
      </w:tblPr>
      <w:tblGrid>
        <w:gridCol w:w="625"/>
        <w:gridCol w:w="1760"/>
        <w:gridCol w:w="2266"/>
        <w:gridCol w:w="2594"/>
        <w:gridCol w:w="1335"/>
        <w:gridCol w:w="3090"/>
        <w:gridCol w:w="1065"/>
        <w:gridCol w:w="1320"/>
      </w:tblGrid>
      <w:tr>
        <w:tblPrEx>
          <w:tblLayout w:type="fixed"/>
          <w:tblCellMar>
            <w:top w:w="0" w:type="dxa"/>
            <w:left w:w="0" w:type="dxa"/>
            <w:bottom w:w="0" w:type="dxa"/>
            <w:right w:w="0" w:type="dxa"/>
          </w:tblCellMar>
        </w:tblPrEx>
        <w:trPr>
          <w:trHeight w:val="440" w:hRule="atLeast"/>
        </w:trPr>
        <w:tc>
          <w:tcPr>
            <w:tcW w:w="6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7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名称</w:t>
            </w:r>
          </w:p>
        </w:tc>
        <w:tc>
          <w:tcPr>
            <w:tcW w:w="226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型号</w:t>
            </w:r>
          </w:p>
        </w:tc>
        <w:tc>
          <w:tcPr>
            <w:tcW w:w="25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参数</w:t>
            </w:r>
          </w:p>
        </w:tc>
        <w:tc>
          <w:tcPr>
            <w:tcW w:w="13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线圈电压</w:t>
            </w:r>
          </w:p>
        </w:tc>
        <w:tc>
          <w:tcPr>
            <w:tcW w:w="30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生产厂家</w:t>
            </w:r>
          </w:p>
        </w:tc>
        <w:tc>
          <w:tcPr>
            <w:tcW w:w="1065" w:type="dxa"/>
            <w:tcBorders>
              <w:top w:val="single" w:color="auto"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highlight w:val="cyan"/>
              </w:rPr>
              <w:t>预估数量</w:t>
            </w:r>
          </w:p>
        </w:tc>
        <w:tc>
          <w:tcPr>
            <w:tcW w:w="13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单价（元）</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一、仪表</w:t>
            </w:r>
          </w:p>
        </w:tc>
      </w:tr>
      <w:tr>
        <w:tblPrEx>
          <w:tblLayout w:type="fixed"/>
          <w:tblCellMar>
            <w:top w:w="0" w:type="dxa"/>
            <w:left w:w="0" w:type="dxa"/>
            <w:bottom w:w="0" w:type="dxa"/>
            <w:right w:w="0" w:type="dxa"/>
          </w:tblCellMar>
        </w:tblPrEx>
        <w:trPr>
          <w:trHeight w:val="285" w:hRule="atLeast"/>
        </w:trPr>
        <w:tc>
          <w:tcPr>
            <w:tcW w:w="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多功能一体表</w:t>
            </w:r>
          </w:p>
        </w:tc>
        <w:tc>
          <w:tcPr>
            <w:tcW w:w="22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DZ96-E4/KC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CT:AC 5A</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AC/DC 220V</w:t>
            </w:r>
          </w:p>
        </w:tc>
        <w:tc>
          <w:tcPr>
            <w:tcW w:w="30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安科瑞</w:t>
            </w:r>
          </w:p>
        </w:tc>
        <w:tc>
          <w:tcPr>
            <w:tcW w:w="1065"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15块</w:t>
            </w:r>
          </w:p>
        </w:tc>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270</w:t>
            </w:r>
          </w:p>
        </w:tc>
      </w:tr>
      <w:tr>
        <w:tblPrEx>
          <w:tblLayout w:type="fixed"/>
          <w:tblCellMar>
            <w:top w:w="0" w:type="dxa"/>
            <w:left w:w="0" w:type="dxa"/>
            <w:bottom w:w="0" w:type="dxa"/>
            <w:right w:w="0" w:type="dxa"/>
          </w:tblCellMar>
        </w:tblPrEx>
        <w:trPr>
          <w:trHeight w:val="285" w:hRule="atLeast"/>
        </w:trPr>
        <w:tc>
          <w:tcPr>
            <w:tcW w:w="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2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PT:AC 380V</w:t>
            </w: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065"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无功功率自动</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补偿控制器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LC1DK</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12回路   </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LC1DK</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180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无功功率自动</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补偿控制器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JKW 5C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10回路</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380V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中国宝雨控股有限公司</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5块</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285</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二、继电器</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继电器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MV4N-GS</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14脚</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220V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继电器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HH54P</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14脚</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220V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继电器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HH52P</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8脚</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36V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18</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继电器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MY4N-J</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14脚</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DC  24V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继电器底座</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MY4N-J</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14脚</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继电器底座</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HH52P</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8脚</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16</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三、充电控制模块</w:t>
            </w:r>
          </w:p>
        </w:tc>
      </w:tr>
      <w:tr>
        <w:tblPrEx>
          <w:tblLayout w:type="fixed"/>
          <w:tblCellMar>
            <w:top w:w="0" w:type="dxa"/>
            <w:left w:w="0" w:type="dxa"/>
            <w:bottom w:w="0" w:type="dxa"/>
            <w:right w:w="0" w:type="dxa"/>
          </w:tblCellMar>
        </w:tblPrEx>
        <w:trPr>
          <w:trHeight w:val="285" w:hRule="atLeast"/>
        </w:trPr>
        <w:tc>
          <w:tcPr>
            <w:tcW w:w="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充电控制模块</w:t>
            </w:r>
          </w:p>
        </w:tc>
        <w:tc>
          <w:tcPr>
            <w:tcW w:w="22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22010-5</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输入电压：AC380V</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HXT-MEGMEET</w:t>
            </w:r>
          </w:p>
        </w:tc>
        <w:tc>
          <w:tcPr>
            <w:tcW w:w="1065"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2个</w:t>
            </w:r>
          </w:p>
        </w:tc>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3200</w:t>
            </w:r>
          </w:p>
        </w:tc>
      </w:tr>
      <w:tr>
        <w:tblPrEx>
          <w:tblLayout w:type="fixed"/>
          <w:tblCellMar>
            <w:top w:w="0" w:type="dxa"/>
            <w:left w:w="0" w:type="dxa"/>
            <w:bottom w:w="0" w:type="dxa"/>
            <w:right w:w="0" w:type="dxa"/>
          </w:tblCellMar>
        </w:tblPrEx>
        <w:trPr>
          <w:trHeight w:val="285" w:hRule="atLeast"/>
        </w:trPr>
        <w:tc>
          <w:tcPr>
            <w:tcW w:w="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2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输出电压：DC220V</w:t>
            </w: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065"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85" w:hRule="atLeast"/>
        </w:trPr>
        <w:tc>
          <w:tcPr>
            <w:tcW w:w="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2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输出电流：10A</w:t>
            </w: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065"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85" w:hRule="atLeast"/>
        </w:trPr>
        <w:tc>
          <w:tcPr>
            <w:tcW w:w="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电力直流电源</w:t>
            </w:r>
          </w:p>
        </w:tc>
        <w:tc>
          <w:tcPr>
            <w:tcW w:w="22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DUP-W</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输入电压：AC176-264V</w:t>
            </w:r>
          </w:p>
        </w:tc>
        <w:tc>
          <w:tcPr>
            <w:tcW w:w="13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厦门众芯电气设备有限公司</w:t>
            </w:r>
          </w:p>
        </w:tc>
        <w:tc>
          <w:tcPr>
            <w:tcW w:w="1065"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1个</w:t>
            </w:r>
          </w:p>
        </w:tc>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9000</w:t>
            </w:r>
          </w:p>
        </w:tc>
      </w:tr>
      <w:tr>
        <w:tblPrEx>
          <w:tblLayout w:type="fixed"/>
          <w:tblCellMar>
            <w:top w:w="0" w:type="dxa"/>
            <w:left w:w="0" w:type="dxa"/>
            <w:bottom w:w="0" w:type="dxa"/>
            <w:right w:w="0" w:type="dxa"/>
          </w:tblCellMar>
        </w:tblPrEx>
        <w:trPr>
          <w:trHeight w:val="285" w:hRule="atLeast"/>
        </w:trPr>
        <w:tc>
          <w:tcPr>
            <w:tcW w:w="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2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输出电压：DC220V</w:t>
            </w: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065"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ascii="宋体" w:hAnsi="宋体" w:cs="宋体"/>
                <w:color w:val="000000"/>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四 、指示灯</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指示灯</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红色</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安装孔径：φ22mm</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220V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指示灯</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绿色</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安装孔径：φ22mm</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220V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指示灯</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白色</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安装孔径：φ22mm</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220V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指示灯</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黄色</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安装孔径：φ22mm</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220V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指示灯</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红色</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安装孔径：φ22mm</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380V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指示灯</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绿色</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安装孔径：φ22mm</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380V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指示灯</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白色</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安装孔径：φ22mm</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380V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指示灯</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黄色</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安装孔径：φ22mm</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  380V</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五、熔断器</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熔断器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RT14-20</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10*38  4A</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正泰、德力西</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熔断器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RT18-32</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10*38  6A</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正泰、德力西</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4</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熔断器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RT16-00</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80A</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正泰、德力西</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熔断器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NT3</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630A</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正泰、德力西</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80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5</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熔断器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RT20-000</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63A</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正泰、德力西</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6</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熔断器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RT20-000</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80A</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正泰、德力西</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7</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熔断器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玻璃保险管</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5*20  2A</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正泰、德力西</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0.3</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8</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熔断器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玻璃保险管</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6*30  4A</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正泰、德力西</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0.3</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六、塑壳断路器</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NSX630N TM630D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400A/3P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4700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NSX250N TM250D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250A/3P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2600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NSX250N TM250D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200A/3P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2500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NSX160N TM160D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160A/3P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NSX160N TM160D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125A/3P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NSX100N TM100D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820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NSX100N TM100D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80A/3P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800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NSX100N TM100D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63A/3P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750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NSX250N TM250D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200A/4P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2700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NSX160N TM160D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160A/4P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1700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NSX160N TM160D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125A/4P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1400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塑壳断路器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NSX100N TM100D</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1050</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七、小型断路器+漏电</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C16A/4P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C25A/4P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C32A/4P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C40A/4P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150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C63A/4P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180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D32A/3P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D40A/3P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D25A/3P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ic65N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D16A/3P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120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小型断路器+漏电</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ic65N+30mA</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C16A/1P+N</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八、接触器</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LC1D12M7C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AC220V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67</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LCID25M7C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AC220V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LC1D32M7C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AC220V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135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LC1D40M7C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AC220V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230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LC1D50M7C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AC220V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315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LC1D150M7C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AC220V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780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LC1D170M7C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AC220V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800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切换电容接触器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LC1DGK</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AC220V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180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切换电容接触器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LC1DGK</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AC380V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180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辅助触点</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LADN11C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12</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辅助触点</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LADN22C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辅助触点</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断路器OF辅助触头</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SD29450</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150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分励脱扣器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 NSX/CVS通用  MX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DC24V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286</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分励脱扣器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 ic  i'MX+OF无源  </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DC24V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286</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九、热继电器</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热继电器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LRD10C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85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热继电器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LRD12C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85</w:t>
            </w:r>
          </w:p>
        </w:tc>
      </w:tr>
      <w:tr>
        <w:tblPrEx>
          <w:tblLayout w:type="fixed"/>
          <w:tblCellMar>
            <w:top w:w="0" w:type="dxa"/>
            <w:left w:w="0" w:type="dxa"/>
            <w:bottom w:w="0" w:type="dxa"/>
            <w:right w:w="0" w:type="dxa"/>
          </w:tblCellMar>
        </w:tblPrEx>
        <w:trPr>
          <w:trHeight w:val="301"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热继电器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LRD14C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85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热继电器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LRD16C</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85</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十、电线</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胶质线</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2x2.5平方</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2"/>
                <w:szCs w:val="22"/>
              </w:rPr>
              <w:t>金字</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475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胶质线</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2x1.5平方</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2"/>
                <w:szCs w:val="22"/>
              </w:rPr>
              <w:t>金字</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350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护套线</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2x2.5平方</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2"/>
                <w:szCs w:val="22"/>
              </w:rPr>
              <w:t>金字</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525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电话线</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4x0.2平方</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HBVV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2"/>
                <w:szCs w:val="22"/>
              </w:rPr>
              <w:t>金字</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187</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十一、电话线水晶头</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水晶头</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压四根线的</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无品牌要求</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10盒</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57</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十二、灯管</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LED T8灯管</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0.6M 65OOK 900Lm</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AC175-245V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欧普</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150根</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17</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双电源</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WATSNB-CB-160-4-RX</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160A/4P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5986</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双电源</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WATSNB-CB-250-4-RX</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250A/4P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12172</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双电源</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WATSNB-CB-63-4-RX</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63A/4P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3614</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双电源</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WATSNB-CB-40-4-RX</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40A/4P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3614</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双电源</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WATSNB-CB-16-4-RX</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16A/4P</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施耐德</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3569</w:t>
            </w:r>
          </w:p>
        </w:tc>
      </w:tr>
      <w:tr>
        <w:tblPrEx>
          <w:tblLayout w:type="fixed"/>
          <w:tblCellMar>
            <w:top w:w="0" w:type="dxa"/>
            <w:left w:w="0" w:type="dxa"/>
            <w:bottom w:w="0" w:type="dxa"/>
            <w:right w:w="0" w:type="dxa"/>
          </w:tblCellMar>
        </w:tblPrEx>
        <w:trPr>
          <w:trHeight w:val="285"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十四、水泵控制器</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变频恒压供水</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电脑控制器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HD3000N</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华大自控</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615</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PLC</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LM3107</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和利时</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3000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变频器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AS510(11KW)</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AC380V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ABB</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3200</w:t>
            </w:r>
          </w:p>
        </w:tc>
      </w:tr>
      <w:tr>
        <w:tblPrEx>
          <w:tblLayout w:type="fixed"/>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变频器</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AS510(1.5KW)</w:t>
            </w:r>
          </w:p>
        </w:tc>
        <w:tc>
          <w:tcPr>
            <w:tcW w:w="2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AC380V</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ABB</w:t>
            </w:r>
          </w:p>
        </w:tc>
        <w:tc>
          <w:tcPr>
            <w:tcW w:w="10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1700</w:t>
            </w:r>
          </w:p>
        </w:tc>
      </w:tr>
      <w:tr>
        <w:tblPrEx>
          <w:tblLayout w:type="fixed"/>
          <w:tblCellMar>
            <w:top w:w="0" w:type="dxa"/>
            <w:left w:w="0" w:type="dxa"/>
            <w:bottom w:w="0" w:type="dxa"/>
            <w:right w:w="0" w:type="dxa"/>
          </w:tblCellMar>
        </w:tblPrEx>
        <w:trPr>
          <w:trHeight w:val="680" w:hRule="atLeast"/>
        </w:trPr>
        <w:tc>
          <w:tcPr>
            <w:tcW w:w="1405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b/>
                <w:color w:val="000000"/>
                <w:kern w:val="0"/>
                <w:sz w:val="36"/>
                <w:szCs w:val="36"/>
              </w:rPr>
            </w:pPr>
            <w:r>
              <w:rPr>
                <w:rFonts w:hint="eastAsia" w:ascii="宋体" w:hAnsi="宋体" w:cs="宋体"/>
                <w:b/>
                <w:color w:val="000000"/>
                <w:kern w:val="0"/>
                <w:sz w:val="36"/>
                <w:szCs w:val="36"/>
              </w:rPr>
              <w:t xml:space="preserve">折扣率：             </w:t>
            </w:r>
          </w:p>
        </w:tc>
      </w:tr>
    </w:tbl>
    <w:p>
      <w:pPr>
        <w:pStyle w:val="18"/>
        <w:spacing w:before="0" w:beforeAutospacing="0" w:after="0" w:afterAutospacing="0" w:line="460" w:lineRule="exact"/>
        <w:jc w:val="both"/>
        <w:rPr>
          <w:kern w:val="2"/>
          <w:sz w:val="30"/>
          <w:szCs w:val="30"/>
        </w:rPr>
      </w:pPr>
    </w:p>
    <w:p>
      <w:pPr>
        <w:pStyle w:val="18"/>
        <w:spacing w:before="0" w:beforeAutospacing="0" w:after="0" w:afterAutospacing="0" w:line="460" w:lineRule="exact"/>
        <w:jc w:val="both"/>
        <w:rPr>
          <w:kern w:val="2"/>
          <w:sz w:val="30"/>
          <w:szCs w:val="30"/>
        </w:rPr>
        <w:sectPr>
          <w:pgSz w:w="16840" w:h="11907" w:orient="landscape"/>
          <w:pgMar w:top="1134" w:right="1474" w:bottom="850" w:left="1474" w:header="720" w:footer="720" w:gutter="0"/>
          <w:cols w:space="720" w:num="1"/>
          <w:titlePg/>
          <w:docGrid w:linePitch="285" w:charSpace="0"/>
        </w:sectPr>
      </w:pPr>
      <w:r>
        <w:rPr>
          <w:rFonts w:hint="eastAsia"/>
          <w:kern w:val="2"/>
          <w:sz w:val="30"/>
          <w:szCs w:val="30"/>
          <w:highlight w:val="cyan"/>
        </w:rPr>
        <w:t>注：数量为预估数量，以实际发生为准。</w:t>
      </w:r>
    </w:p>
    <w:p>
      <w:pPr>
        <w:pStyle w:val="18"/>
        <w:spacing w:before="0" w:beforeAutospacing="0" w:after="0" w:afterAutospacing="0" w:line="460" w:lineRule="exact"/>
        <w:jc w:val="both"/>
        <w:rPr>
          <w:kern w:val="2"/>
          <w:sz w:val="30"/>
          <w:szCs w:val="30"/>
        </w:rPr>
      </w:pP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b/>
          <w:bCs/>
          <w:kern w:val="2"/>
          <w:sz w:val="30"/>
          <w:szCs w:val="30"/>
        </w:rPr>
        <w:t>12</w:t>
      </w:r>
      <w:r>
        <w:rPr>
          <w:rFonts w:hint="eastAsia"/>
          <w:kern w:val="2"/>
          <w:sz w:val="30"/>
          <w:szCs w:val="30"/>
        </w:rPr>
        <w:t>个月。</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8.2供应商须提供完善的售后服务，</w:t>
      </w:r>
      <w:r>
        <w:rPr>
          <w:rFonts w:hint="eastAsia"/>
          <w:color w:val="000000" w:themeColor="text1"/>
          <w:sz w:val="30"/>
          <w:szCs w:val="30"/>
        </w:rPr>
        <w:t>质保期内对于出现的质量问题，供应商</w:t>
      </w:r>
      <w:r>
        <w:rPr>
          <w:rFonts w:hint="eastAsia"/>
          <w:b/>
          <w:bCs/>
          <w:color w:val="000000" w:themeColor="text1"/>
          <w:sz w:val="30"/>
          <w:szCs w:val="30"/>
        </w:rPr>
        <w:t>1</w:t>
      </w:r>
      <w:r>
        <w:rPr>
          <w:rFonts w:hint="eastAsia"/>
          <w:color w:val="000000" w:themeColor="text1"/>
          <w:sz w:val="30"/>
          <w:szCs w:val="30"/>
        </w:rPr>
        <w:t>小时内响应，</w:t>
      </w:r>
      <w:r>
        <w:rPr>
          <w:rFonts w:hint="eastAsia"/>
          <w:b/>
          <w:bCs/>
          <w:color w:val="000000" w:themeColor="text1"/>
          <w:sz w:val="30"/>
          <w:szCs w:val="30"/>
        </w:rPr>
        <w:t>2</w:t>
      </w:r>
      <w:r>
        <w:rPr>
          <w:rFonts w:hint="eastAsia"/>
          <w:color w:val="000000" w:themeColor="text1"/>
          <w:sz w:val="30"/>
          <w:szCs w:val="30"/>
        </w:rPr>
        <w:t>小时内</w:t>
      </w:r>
      <w:r>
        <w:rPr>
          <w:rFonts w:hint="eastAsia"/>
          <w:kern w:val="2"/>
          <w:sz w:val="30"/>
          <w:szCs w:val="30"/>
        </w:rPr>
        <w:t>指派专业技术人员到达采购人指定地点提供维修服务</w:t>
      </w:r>
      <w:r>
        <w:rPr>
          <w:rFonts w:hint="eastAsia"/>
          <w:color w:val="000000" w:themeColor="text1"/>
          <w:sz w:val="30"/>
          <w:szCs w:val="30"/>
        </w:rPr>
        <w:t>，</w:t>
      </w:r>
      <w:r>
        <w:rPr>
          <w:rFonts w:hint="eastAsia"/>
          <w:b/>
          <w:bCs/>
          <w:color w:val="000000" w:themeColor="text1"/>
          <w:sz w:val="30"/>
          <w:szCs w:val="30"/>
        </w:rPr>
        <w:t>24</w:t>
      </w:r>
      <w:r>
        <w:rPr>
          <w:rFonts w:hint="eastAsia"/>
          <w:color w:val="000000" w:themeColor="text1"/>
          <w:sz w:val="30"/>
          <w:szCs w:val="30"/>
        </w:rPr>
        <w:t>小时内解决问题。如不能及时解决，提供采购人可以接受的解决方案或</w:t>
      </w:r>
      <w:r>
        <w:rPr>
          <w:rFonts w:hint="eastAsia"/>
          <w:color w:val="000000" w:themeColor="text1"/>
          <w:sz w:val="30"/>
          <w:szCs w:val="30"/>
          <w:highlight w:val="yellow"/>
        </w:rPr>
        <w:t>供应商</w:t>
      </w:r>
      <w:r>
        <w:rPr>
          <w:rFonts w:hint="eastAsia"/>
          <w:color w:val="000000" w:themeColor="text1"/>
          <w:sz w:val="30"/>
          <w:szCs w:val="30"/>
        </w:rPr>
        <w:t>无条件给予退换。</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widowControl/>
        <w:spacing w:line="460" w:lineRule="atLeast"/>
        <w:ind w:firstLine="600" w:firstLineChars="200"/>
        <w:jc w:val="left"/>
        <w:rPr>
          <w:rFonts w:ascii="宋体" w:hAnsi="宋体" w:cs="宋体"/>
          <w:sz w:val="30"/>
          <w:szCs w:val="30"/>
        </w:rPr>
      </w:pPr>
      <w:r>
        <w:rPr>
          <w:rFonts w:hint="eastAsia" w:ascii="宋体" w:hAnsi="宋体" w:cs="宋体"/>
          <w:sz w:val="30"/>
          <w:szCs w:val="30"/>
        </w:rPr>
        <w:t>9.1</w:t>
      </w:r>
      <w:r>
        <w:rPr>
          <w:rFonts w:hint="eastAsia" w:ascii="宋体" w:hAnsi="宋体" w:cs="宋体"/>
          <w:sz w:val="30"/>
          <w:szCs w:val="30"/>
          <w:highlight w:val="yellow"/>
        </w:rPr>
        <w:t>交货违约：</w:t>
      </w:r>
      <w:r>
        <w:rPr>
          <w:rFonts w:hint="eastAsia" w:ascii="宋体" w:hAnsi="宋体" w:cs="宋体"/>
          <w:sz w:val="30"/>
          <w:szCs w:val="30"/>
        </w:rPr>
        <w:t>如果</w:t>
      </w:r>
      <w:r>
        <w:rPr>
          <w:rFonts w:hint="eastAsia" w:ascii="宋体" w:hAnsi="宋体" w:cs="宋体"/>
          <w:sz w:val="30"/>
          <w:szCs w:val="30"/>
          <w:highlight w:val="yellow"/>
        </w:rPr>
        <w:t>供应商</w:t>
      </w:r>
      <w:r>
        <w:rPr>
          <w:rFonts w:hint="eastAsia" w:ascii="宋体" w:hAnsi="宋体" w:cs="宋体"/>
          <w:sz w:val="30"/>
          <w:szCs w:val="30"/>
        </w:rPr>
        <w:t>没有按照合同规定的时间交货和提供服务，</w:t>
      </w:r>
      <w:r>
        <w:rPr>
          <w:rFonts w:hint="eastAsia" w:ascii="宋体" w:hAnsi="宋体" w:cs="宋体"/>
          <w:sz w:val="30"/>
          <w:szCs w:val="30"/>
          <w:highlight w:val="yellow"/>
        </w:rPr>
        <w:t>采购人</w:t>
      </w:r>
      <w:r>
        <w:rPr>
          <w:rFonts w:hint="eastAsia" w:ascii="宋体" w:hAnsi="宋体" w:cs="宋体"/>
          <w:sz w:val="30"/>
          <w:szCs w:val="30"/>
        </w:rPr>
        <w:t>可从货款中扣除违约赔偿费，赔偿费应按每迟交一天，按合同总价的</w:t>
      </w:r>
      <w:r>
        <w:rPr>
          <w:rFonts w:hint="eastAsia" w:ascii="宋体" w:hAnsi="宋体" w:cs="宋体"/>
          <w:color w:val="000000"/>
          <w:sz w:val="30"/>
          <w:szCs w:val="30"/>
        </w:rPr>
        <w:t>1%</w:t>
      </w:r>
      <w:r>
        <w:rPr>
          <w:rFonts w:hint="eastAsia" w:ascii="宋体" w:hAnsi="宋体" w:cs="宋体"/>
          <w:sz w:val="30"/>
          <w:szCs w:val="30"/>
        </w:rPr>
        <w:t>计收。但违约赔偿费的最高限额为合同总价的</w:t>
      </w:r>
      <w:r>
        <w:rPr>
          <w:rFonts w:hint="eastAsia" w:ascii="宋体" w:hAnsi="宋体" w:cs="宋体"/>
          <w:sz w:val="30"/>
          <w:szCs w:val="30"/>
          <w:highlight w:val="cyan"/>
        </w:rPr>
        <w:t>20%</w:t>
      </w:r>
      <w:r>
        <w:rPr>
          <w:rFonts w:hint="eastAsia" w:ascii="宋体" w:hAnsi="宋体" w:cs="宋体"/>
          <w:sz w:val="30"/>
          <w:szCs w:val="30"/>
        </w:rPr>
        <w:t>。不足1天超过12个小时按一天计算。如果</w:t>
      </w:r>
      <w:r>
        <w:rPr>
          <w:rFonts w:hint="eastAsia" w:ascii="宋体" w:hAnsi="宋体" w:cs="宋体"/>
          <w:sz w:val="30"/>
          <w:szCs w:val="30"/>
          <w:highlight w:val="yellow"/>
        </w:rPr>
        <w:t>供应商</w:t>
      </w:r>
      <w:r>
        <w:rPr>
          <w:rFonts w:hint="eastAsia" w:ascii="宋体" w:hAnsi="宋体" w:cs="宋体"/>
          <w:sz w:val="30"/>
          <w:szCs w:val="30"/>
        </w:rPr>
        <w:t>在达到最高限额后仍不能交货，</w:t>
      </w:r>
      <w:r>
        <w:rPr>
          <w:rFonts w:hint="eastAsia" w:ascii="宋体" w:hAnsi="宋体" w:cs="宋体"/>
          <w:sz w:val="30"/>
          <w:szCs w:val="30"/>
          <w:highlight w:val="yellow"/>
        </w:rPr>
        <w:t>采购人</w:t>
      </w:r>
      <w:r>
        <w:rPr>
          <w:rFonts w:hint="eastAsia" w:ascii="宋体" w:hAnsi="宋体" w:cs="宋体"/>
          <w:sz w:val="30"/>
          <w:szCs w:val="30"/>
        </w:rPr>
        <w:t>可考虑终止合同，没收履约保证金，并要求</w:t>
      </w:r>
      <w:r>
        <w:rPr>
          <w:rFonts w:hint="eastAsia" w:ascii="宋体" w:hAnsi="宋体" w:cs="宋体"/>
          <w:sz w:val="30"/>
          <w:szCs w:val="30"/>
          <w:highlight w:val="yellow"/>
        </w:rPr>
        <w:t>供应商</w:t>
      </w:r>
      <w:r>
        <w:rPr>
          <w:rFonts w:hint="eastAsia" w:ascii="宋体" w:hAnsi="宋体" w:cs="宋体"/>
          <w:sz w:val="30"/>
          <w:szCs w:val="30"/>
        </w:rPr>
        <w:t>赔偿</w:t>
      </w:r>
      <w:r>
        <w:rPr>
          <w:rFonts w:hint="eastAsia" w:ascii="宋体" w:hAnsi="宋体" w:cs="宋体"/>
          <w:sz w:val="30"/>
          <w:szCs w:val="30"/>
          <w:highlight w:val="yellow"/>
        </w:rPr>
        <w:t>采购人</w:t>
      </w:r>
      <w:r>
        <w:rPr>
          <w:rFonts w:hint="eastAsia" w:ascii="宋体" w:hAnsi="宋体" w:cs="宋体"/>
          <w:sz w:val="30"/>
          <w:szCs w:val="30"/>
        </w:rPr>
        <w:t>损失。</w:t>
      </w:r>
    </w:p>
    <w:p>
      <w:pPr>
        <w:widowControl/>
        <w:spacing w:line="460" w:lineRule="atLeast"/>
        <w:ind w:firstLine="600" w:firstLineChars="200"/>
        <w:jc w:val="left"/>
        <w:rPr>
          <w:sz w:val="30"/>
          <w:szCs w:val="30"/>
        </w:rPr>
      </w:pPr>
      <w:r>
        <w:rPr>
          <w:rFonts w:hint="eastAsia"/>
          <w:sz w:val="30"/>
          <w:szCs w:val="30"/>
        </w:rPr>
        <w:t>9.2</w:t>
      </w:r>
      <w:r>
        <w:rPr>
          <w:rFonts w:hint="eastAsia" w:ascii="宋体" w:hAnsi="宋体" w:cs="宋体"/>
          <w:sz w:val="30"/>
          <w:szCs w:val="30"/>
          <w:highlight w:val="yellow"/>
        </w:rPr>
        <w:t>质保违约：</w:t>
      </w:r>
      <w:r>
        <w:rPr>
          <w:rFonts w:hint="eastAsia" w:ascii="宋体" w:hAnsi="宋体"/>
          <w:bCs/>
          <w:sz w:val="30"/>
          <w:szCs w:val="30"/>
        </w:rPr>
        <w:t>保修期内货物发生故障，供应商须在响应文件中承诺的时间内指</w:t>
      </w:r>
      <w:r>
        <w:rPr>
          <w:rFonts w:ascii="宋体" w:hAnsi="宋体"/>
          <w:bCs/>
          <w:sz w:val="30"/>
          <w:szCs w:val="30"/>
        </w:rPr>
        <w:t>派专业技术人员</w:t>
      </w:r>
      <w:r>
        <w:rPr>
          <w:rFonts w:hint="eastAsia" w:ascii="宋体" w:hAnsi="宋体"/>
          <w:bCs/>
          <w:sz w:val="30"/>
          <w:szCs w:val="30"/>
        </w:rPr>
        <w:t>到达采购人指定地点提供维修服务，“实际到达时间”每超过“承诺应到时间”24小时，扣除履约保证金2%，以此类推。</w:t>
      </w:r>
    </w:p>
    <w:p>
      <w:pPr>
        <w:pStyle w:val="18"/>
        <w:numPr>
          <w:ilvl w:val="0"/>
          <w:numId w:val="1"/>
        </w:numPr>
        <w:spacing w:before="0" w:beforeAutospacing="0" w:after="0" w:afterAutospacing="0" w:line="460" w:lineRule="exact"/>
        <w:ind w:firstLine="600" w:firstLineChars="200"/>
        <w:jc w:val="both"/>
        <w:rPr>
          <w:kern w:val="2"/>
          <w:sz w:val="30"/>
          <w:szCs w:val="30"/>
        </w:rPr>
      </w:pPr>
      <w:r>
        <w:rPr>
          <w:rFonts w:hint="eastAsia"/>
          <w:kern w:val="2"/>
          <w:sz w:val="30"/>
          <w:szCs w:val="30"/>
        </w:rPr>
        <w:t>其他要求：</w:t>
      </w:r>
    </w:p>
    <w:p>
      <w:pPr>
        <w:spacing w:line="500" w:lineRule="exact"/>
        <w:ind w:firstLine="600" w:firstLineChars="200"/>
      </w:pPr>
      <w:r>
        <w:rPr>
          <w:rFonts w:hint="eastAsia"/>
          <w:sz w:val="30"/>
          <w:szCs w:val="30"/>
        </w:rPr>
        <w:t>10.1</w:t>
      </w:r>
      <w:r>
        <w:rPr>
          <w:rFonts w:hint="eastAsia" w:ascii="宋体" w:hAnsi="宋体" w:cs="宋体"/>
          <w:color w:val="000000"/>
          <w:sz w:val="30"/>
          <w:szCs w:val="30"/>
        </w:rPr>
        <w:t>本项目验收标准需完全符合招标（谈判）文件要求，如验收不合格，采购人有权终止合同并退货。</w:t>
      </w:r>
    </w:p>
    <w:p>
      <w:pPr>
        <w:spacing w:line="500" w:lineRule="exact"/>
        <w:ind w:firstLine="600" w:firstLineChars="200"/>
        <w:rPr>
          <w:rFonts w:ascii="宋体" w:hAnsi="宋体" w:cs="宋体"/>
          <w:sz w:val="30"/>
          <w:szCs w:val="30"/>
        </w:rPr>
      </w:pPr>
      <w:r>
        <w:rPr>
          <w:rFonts w:hint="eastAsia" w:ascii="宋体" w:hAnsi="宋体" w:cs="宋体"/>
          <w:color w:val="000000"/>
          <w:sz w:val="30"/>
          <w:szCs w:val="30"/>
        </w:rPr>
        <w:t>10.2投标供应商必须按照合同规定的品牌型号规格供货，不得改变。若型号或规格更改，采购人有权拒收。</w:t>
      </w:r>
    </w:p>
    <w:p>
      <w:pPr>
        <w:pStyle w:val="18"/>
        <w:spacing w:before="0" w:beforeAutospacing="0" w:after="0" w:afterAutospacing="0" w:line="460" w:lineRule="exact"/>
        <w:ind w:firstLine="600" w:firstLineChars="200"/>
        <w:jc w:val="both"/>
        <w:rPr>
          <w:kern w:val="2"/>
          <w:sz w:val="30"/>
          <w:szCs w:val="30"/>
        </w:rPr>
      </w:pPr>
      <w:r>
        <w:rPr>
          <w:rFonts w:hint="eastAsia"/>
          <w:sz w:val="30"/>
          <w:szCs w:val="30"/>
        </w:rPr>
        <w:t>10.3由于质量问题（含安全隐患）而产生的一切费用及纠纷均</w:t>
      </w:r>
      <w:r>
        <w:rPr>
          <w:rFonts w:hint="eastAsia"/>
          <w:sz w:val="30"/>
          <w:szCs w:val="30"/>
          <w:lang w:eastAsia="zh-CN"/>
        </w:rPr>
        <w:t>由</w:t>
      </w:r>
      <w:r>
        <w:rPr>
          <w:rFonts w:hint="eastAsia"/>
          <w:sz w:val="30"/>
          <w:szCs w:val="30"/>
        </w:rPr>
        <w:t>供应商承担。</w:t>
      </w:r>
    </w:p>
    <w:p>
      <w:pPr>
        <w:spacing w:line="360" w:lineRule="exact"/>
        <w:rPr>
          <w:rFonts w:ascii="宋体" w:hAnsi="宋体" w:cs="宋体"/>
          <w:color w:val="000000"/>
          <w:kern w:val="0"/>
          <w:sz w:val="30"/>
          <w:szCs w:val="30"/>
        </w:rPr>
      </w:pPr>
      <w:r>
        <w:rPr>
          <w:rFonts w:hint="eastAsia" w:ascii="宋体" w:hAnsi="宋体" w:cs="宋体"/>
          <w:color w:val="000000"/>
          <w:kern w:val="0"/>
          <w:sz w:val="30"/>
          <w:szCs w:val="30"/>
          <w:highlight w:val="cyan"/>
        </w:rPr>
        <w:t>10.4本项目预算总金额为275905元，项目发生总金额达到预算总金额时，项目自然结束。</w:t>
      </w:r>
    </w:p>
    <w:bookmarkEnd w:id="6"/>
    <w:bookmarkEnd w:id="7"/>
    <w:bookmarkEnd w:id="8"/>
    <w:p>
      <w:pPr>
        <w:pStyle w:val="3"/>
        <w:spacing w:before="240" w:after="240"/>
        <w:jc w:val="center"/>
        <w:rPr>
          <w:b/>
          <w:sz w:val="32"/>
        </w:rPr>
      </w:pPr>
      <w:bookmarkStart w:id="10" w:name="_Toc9539"/>
      <w:r>
        <w:rPr>
          <w:rFonts w:hint="eastAsia"/>
          <w:b/>
          <w:sz w:val="32"/>
        </w:rPr>
        <w:t>二、响应文件的编制</w:t>
      </w:r>
      <w:bookmarkEnd w:id="10"/>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8"/>
        <w:spacing w:before="0" w:beforeAutospacing="0" w:after="0" w:afterAutospacing="0" w:line="460" w:lineRule="exact"/>
        <w:ind w:firstLine="600" w:firstLineChars="200"/>
        <w:jc w:val="both"/>
        <w:rPr>
          <w:kern w:val="2"/>
          <w:sz w:val="30"/>
          <w:szCs w:val="30"/>
        </w:rPr>
      </w:pP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w:t>
      </w:r>
      <w:r>
        <w:rPr>
          <w:rFonts w:hint="eastAsia"/>
          <w:sz w:val="30"/>
          <w:szCs w:val="30"/>
          <w:highlight w:val="cyan"/>
        </w:rPr>
        <w:t>折扣率</w:t>
      </w:r>
      <w:r>
        <w:rPr>
          <w:rFonts w:hint="eastAsia"/>
          <w:kern w:val="2"/>
          <w:sz w:val="30"/>
          <w:szCs w:val="30"/>
        </w:rPr>
        <w:t>报价，报价内容包含谈判文件规定的货物型号、品牌、责任范围以及合同条款进行报价，</w:t>
      </w:r>
      <w:r>
        <w:rPr>
          <w:rFonts w:hint="eastAsia"/>
          <w:sz w:val="30"/>
          <w:szCs w:val="30"/>
        </w:rPr>
        <w:t>报价形式采用按</w:t>
      </w:r>
      <w:r>
        <w:rPr>
          <w:rFonts w:hint="eastAsia"/>
          <w:sz w:val="30"/>
          <w:szCs w:val="30"/>
          <w:highlight w:val="cyan"/>
        </w:rPr>
        <w:t>单</w:t>
      </w:r>
      <w:r>
        <w:rPr>
          <w:rFonts w:hint="eastAsia"/>
          <w:sz w:val="30"/>
          <w:szCs w:val="30"/>
        </w:rPr>
        <w:t>价整体折扣率报价（四舍五入保留小数点后两位数），</w:t>
      </w:r>
      <w:r>
        <w:rPr>
          <w:rFonts w:hint="eastAsia"/>
          <w:color w:val="auto"/>
          <w:sz w:val="30"/>
          <w:szCs w:val="30"/>
        </w:rPr>
        <w:t>报价中包含运杂、装卸、包装、保险、税费、售后服务等以及国家规定的各项费用等一切费用。</w:t>
      </w:r>
      <w:r>
        <w:rPr>
          <w:rFonts w:hint="eastAsia"/>
          <w:sz w:val="30"/>
          <w:szCs w:val="30"/>
        </w:rPr>
        <w:t>各投标人须结合采购方所提供的单价报出投标折扣率，投标报价一律填写统一折扣率，如打八折，折扣率为80%。</w:t>
      </w:r>
      <w:r>
        <w:rPr>
          <w:rFonts w:hint="eastAsia"/>
          <w:kern w:val="2"/>
          <w:sz w:val="30"/>
          <w:szCs w:val="30"/>
        </w:rPr>
        <w:t>（只能在采购预算范围内报价，报价唯一，不得提交选择性报价。）</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4.2本项目</w:t>
      </w:r>
      <w:r>
        <w:rPr>
          <w:rFonts w:hint="eastAsia"/>
          <w:b/>
          <w:bCs/>
          <w:kern w:val="2"/>
          <w:sz w:val="30"/>
          <w:szCs w:val="30"/>
          <w:highlight w:val="cyan"/>
        </w:rPr>
        <w:t>预算总金额275905元</w:t>
      </w:r>
      <w:r>
        <w:rPr>
          <w:rFonts w:hint="eastAsia"/>
          <w:b/>
          <w:bCs/>
          <w:kern w:val="2"/>
          <w:sz w:val="30"/>
          <w:szCs w:val="30"/>
        </w:rPr>
        <w:t>。响应文件中的响应报价（即首次报价）超出采购项目</w:t>
      </w:r>
      <w:r>
        <w:rPr>
          <w:rFonts w:hint="eastAsia"/>
          <w:b/>
          <w:bCs/>
          <w:kern w:val="2"/>
          <w:sz w:val="30"/>
          <w:szCs w:val="30"/>
          <w:highlight w:val="cyan"/>
        </w:rPr>
        <w:t>预算总金额</w:t>
      </w:r>
      <w:r>
        <w:rPr>
          <w:rFonts w:hint="eastAsia"/>
          <w:b/>
          <w:bCs/>
          <w:kern w:val="2"/>
          <w:sz w:val="30"/>
          <w:szCs w:val="30"/>
        </w:rPr>
        <w:t>的响应无效，做无效标处理；开标现场报价时所提交的报价超出采购项目</w:t>
      </w:r>
      <w:r>
        <w:rPr>
          <w:rFonts w:hint="eastAsia"/>
          <w:b/>
          <w:bCs/>
          <w:kern w:val="2"/>
          <w:sz w:val="30"/>
          <w:szCs w:val="30"/>
          <w:highlight w:val="cyan"/>
        </w:rPr>
        <w:t>预算总金额</w:t>
      </w:r>
      <w:r>
        <w:rPr>
          <w:rFonts w:hint="eastAsia"/>
          <w:b/>
          <w:bCs/>
          <w:kern w:val="2"/>
          <w:sz w:val="30"/>
          <w:szCs w:val="30"/>
        </w:rPr>
        <w:t>或超出响应文件中的响应报价（即首次报价）的响应无效，做无效标处理。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5.1供应商向采购人提交规定的谈判保证金须在开标当天上午8：00前到账，并作为其响应文件的一部分。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highlight w:val="yellow"/>
        </w:rPr>
        <w:t>.2</w:t>
      </w:r>
      <w:r>
        <w:rPr>
          <w:rFonts w:hint="eastAsia"/>
          <w:kern w:val="2"/>
          <w:sz w:val="30"/>
          <w:szCs w:val="30"/>
        </w:rPr>
        <w:t xml:space="preserve"> 未成交供应商的谈判保证金，在成交通知书发出后5个工作日内退还。</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highlight w:val="yellow"/>
        </w:rPr>
        <w:t>.3</w:t>
      </w:r>
      <w:r>
        <w:rPr>
          <w:rFonts w:hint="eastAsia"/>
          <w:kern w:val="2"/>
          <w:sz w:val="30"/>
          <w:szCs w:val="30"/>
        </w:rPr>
        <w:t>有下列情形之一的，保证金不予退还：</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8"/>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8"/>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8"/>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8"/>
        <w:spacing w:before="0" w:beforeAutospacing="0" w:after="0" w:afterAutospacing="0" w:line="460" w:lineRule="exact"/>
        <w:ind w:firstLine="602" w:firstLineChars="200"/>
        <w:jc w:val="both"/>
        <w:rPr>
          <w:b/>
          <w:bCs/>
          <w:color w:val="auto"/>
          <w:kern w:val="2"/>
          <w:sz w:val="30"/>
          <w:szCs w:val="30"/>
        </w:rPr>
      </w:pPr>
      <w:r>
        <w:rPr>
          <w:rFonts w:hint="eastAsia"/>
          <w:b/>
          <w:bCs/>
          <w:color w:val="auto"/>
          <w:kern w:val="2"/>
          <w:sz w:val="30"/>
          <w:szCs w:val="30"/>
        </w:rPr>
        <w:t>6.7响应文件正本需加盖响应供应商公章。</w:t>
      </w:r>
    </w:p>
    <w:p>
      <w:pPr>
        <w:pStyle w:val="18"/>
        <w:spacing w:before="0" w:beforeAutospacing="0" w:after="0" w:afterAutospacing="0" w:line="460" w:lineRule="exact"/>
        <w:ind w:firstLine="600" w:firstLineChars="200"/>
        <w:jc w:val="both"/>
        <w:rPr>
          <w:kern w:val="2"/>
          <w:sz w:val="30"/>
          <w:szCs w:val="30"/>
        </w:rPr>
      </w:pPr>
    </w:p>
    <w:p>
      <w:pPr>
        <w:pStyle w:val="3"/>
        <w:spacing w:before="240" w:after="240"/>
        <w:jc w:val="center"/>
        <w:rPr>
          <w:b/>
          <w:sz w:val="32"/>
        </w:rPr>
      </w:pPr>
      <w:bookmarkStart w:id="11" w:name="_Toc533775669"/>
    </w:p>
    <w:p>
      <w:pPr>
        <w:pStyle w:val="3"/>
        <w:spacing w:before="240" w:after="240"/>
        <w:jc w:val="center"/>
        <w:rPr>
          <w:b/>
          <w:sz w:val="32"/>
        </w:rPr>
      </w:pPr>
      <w:bookmarkStart w:id="12" w:name="_Toc4116"/>
      <w:r>
        <w:rPr>
          <w:rFonts w:hint="eastAsia"/>
          <w:b/>
          <w:sz w:val="32"/>
        </w:rPr>
        <w:t>三、</w:t>
      </w:r>
      <w:bookmarkEnd w:id="11"/>
      <w:r>
        <w:rPr>
          <w:rFonts w:hint="eastAsia"/>
          <w:b/>
          <w:sz w:val="32"/>
        </w:rPr>
        <w:t>谈判</w:t>
      </w:r>
      <w:bookmarkEnd w:id="12"/>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8"/>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w:t>
      </w:r>
      <w:r>
        <w:rPr>
          <w:rFonts w:hint="eastAsia"/>
          <w:color w:val="auto"/>
          <w:kern w:val="2"/>
          <w:sz w:val="30"/>
          <w:szCs w:val="30"/>
          <w:lang w:val="en-GB"/>
        </w:rPr>
        <w:t>照抽签顺序，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8"/>
        <w:spacing w:before="0" w:beforeAutospacing="0" w:after="0" w:afterAutospacing="0" w:line="460" w:lineRule="exact"/>
        <w:ind w:firstLine="602" w:firstLineChars="200"/>
        <w:jc w:val="both"/>
        <w:rPr>
          <w:b/>
          <w:bCs/>
          <w:kern w:val="2"/>
          <w:sz w:val="30"/>
          <w:szCs w:val="30"/>
        </w:rPr>
      </w:pPr>
      <w:bookmarkStart w:id="13" w:name="_Toc376848253"/>
      <w:r>
        <w:rPr>
          <w:rFonts w:hint="eastAsia"/>
          <w:b/>
          <w:bCs/>
          <w:kern w:val="2"/>
          <w:sz w:val="30"/>
          <w:szCs w:val="30"/>
        </w:rPr>
        <w:t>4.终止谈判采购活动的情形</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4" w:name="_Toc377297026"/>
    </w:p>
    <w:bookmarkEnd w:id="14"/>
    <w:p>
      <w:pPr>
        <w:pStyle w:val="18"/>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3"/>
    <w:p>
      <w:pPr>
        <w:pStyle w:val="18"/>
        <w:spacing w:before="0" w:beforeAutospacing="0" w:after="0" w:afterAutospacing="0" w:line="460" w:lineRule="exact"/>
        <w:ind w:firstLine="602" w:firstLineChars="200"/>
        <w:jc w:val="both"/>
        <w:rPr>
          <w:b/>
          <w:bCs/>
          <w:kern w:val="2"/>
          <w:sz w:val="30"/>
          <w:szCs w:val="30"/>
        </w:rPr>
      </w:pPr>
      <w:bookmarkStart w:id="15" w:name="_Toc286758340"/>
      <w:r>
        <w:rPr>
          <w:rFonts w:hint="eastAsia"/>
          <w:b/>
          <w:bCs/>
          <w:kern w:val="2"/>
          <w:sz w:val="30"/>
          <w:szCs w:val="30"/>
        </w:rPr>
        <w:t xml:space="preserve">6. </w:t>
      </w:r>
      <w:bookmarkEnd w:id="15"/>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8"/>
        <w:spacing w:before="0" w:beforeAutospacing="0" w:after="0" w:afterAutospacing="0" w:line="460" w:lineRule="exact"/>
        <w:ind w:firstLine="600" w:firstLineChars="200"/>
        <w:jc w:val="both"/>
        <w:rPr>
          <w:kern w:val="2"/>
          <w:sz w:val="30"/>
          <w:szCs w:val="30"/>
        </w:rPr>
      </w:pPr>
      <w:bookmarkStart w:id="16" w:name="_Toc286758341"/>
      <w:bookmarkStart w:id="17" w:name="_Toc445715221"/>
      <w:bookmarkStart w:id="18"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8"/>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8"/>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6"/>
    <w:bookmarkEnd w:id="17"/>
    <w:bookmarkEnd w:id="18"/>
    <w:p>
      <w:pPr>
        <w:pStyle w:val="3"/>
        <w:jc w:val="center"/>
        <w:rPr>
          <w:rFonts w:ascii="仿宋" w:hAnsi="仿宋" w:eastAsia="仿宋" w:cs="仿宋"/>
          <w:kern w:val="0"/>
          <w:sz w:val="52"/>
          <w:szCs w:val="52"/>
        </w:rPr>
      </w:pPr>
      <w:bookmarkStart w:id="19" w:name="_Toc387418052"/>
      <w:bookmarkStart w:id="20" w:name="_Toc225565935"/>
    </w:p>
    <w:p>
      <w:pPr>
        <w:pStyle w:val="3"/>
        <w:jc w:val="center"/>
        <w:rPr>
          <w:rFonts w:ascii="仿宋" w:hAnsi="仿宋" w:eastAsia="仿宋" w:cs="仿宋"/>
          <w:kern w:val="0"/>
          <w:sz w:val="52"/>
          <w:szCs w:val="52"/>
        </w:rPr>
      </w:pPr>
      <w:bookmarkStart w:id="21" w:name="_Toc2202"/>
      <w:r>
        <w:rPr>
          <w:rFonts w:hint="eastAsia" w:ascii="仿宋" w:hAnsi="仿宋" w:eastAsia="仿宋" w:cs="仿宋"/>
          <w:kern w:val="0"/>
          <w:sz w:val="52"/>
          <w:szCs w:val="52"/>
        </w:rPr>
        <w:t>赣州市人民医院</w:t>
      </w:r>
      <w:bookmarkEnd w:id="21"/>
    </w:p>
    <w:p>
      <w:pPr>
        <w:pStyle w:val="3"/>
        <w:jc w:val="center"/>
        <w:rPr>
          <w:rFonts w:ascii="仿宋" w:hAnsi="仿宋" w:eastAsia="仿宋" w:cs="仿宋"/>
          <w:kern w:val="0"/>
          <w:sz w:val="52"/>
          <w:szCs w:val="52"/>
        </w:rPr>
      </w:pPr>
      <w:bookmarkStart w:id="22" w:name="_Toc30924"/>
      <w:r>
        <w:rPr>
          <w:rFonts w:hint="eastAsia" w:ascii="仿宋" w:hAnsi="仿宋" w:eastAsia="仿宋" w:cs="仿宋"/>
          <w:kern w:val="0"/>
          <w:sz w:val="52"/>
          <w:szCs w:val="52"/>
        </w:rPr>
        <w:t>采购合同</w:t>
      </w:r>
      <w:bookmarkEnd w:id="22"/>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2021******</w:t>
      </w:r>
      <w:r>
        <w:rPr>
          <w:rFonts w:hint="eastAsia" w:ascii="仿宋" w:hAnsi="仿宋" w:eastAsia="仿宋" w:cs="仿宋"/>
          <w:kern w:val="0"/>
          <w:sz w:val="32"/>
          <w:szCs w:val="32"/>
        </w:rPr>
        <w:t>）</w:t>
      </w:r>
    </w:p>
    <w:p>
      <w:pPr>
        <w:pStyle w:val="3"/>
        <w:ind w:firstLine="704" w:firstLineChars="220"/>
        <w:rPr>
          <w:rFonts w:ascii="仿宋" w:hAnsi="仿宋" w:eastAsia="仿宋" w:cs="仿宋"/>
          <w:kern w:val="0"/>
          <w:sz w:val="32"/>
          <w:szCs w:val="32"/>
        </w:rPr>
      </w:pPr>
      <w:bookmarkStart w:id="23" w:name="_Toc19674"/>
      <w:r>
        <w:rPr>
          <w:rFonts w:hint="eastAsia" w:ascii="仿宋" w:hAnsi="仿宋" w:eastAsia="仿宋" w:cs="仿宋"/>
          <w:kern w:val="0"/>
          <w:sz w:val="32"/>
          <w:szCs w:val="32"/>
        </w:rPr>
        <w:t>甲方：赣州市人民医院</w:t>
      </w:r>
      <w:bookmarkEnd w:id="23"/>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3"/>
        <w:ind w:left="1631" w:leftChars="327" w:hanging="944" w:hangingChars="295"/>
        <w:rPr>
          <w:rFonts w:ascii="仿宋" w:hAnsi="仿宋" w:eastAsia="仿宋" w:cs="仿宋"/>
          <w:kern w:val="0"/>
          <w:sz w:val="32"/>
          <w:szCs w:val="32"/>
        </w:rPr>
      </w:pPr>
      <w:bookmarkStart w:id="24" w:name="_Toc3314"/>
      <w:r>
        <w:rPr>
          <w:rFonts w:hint="eastAsia" w:ascii="仿宋" w:hAnsi="仿宋" w:eastAsia="仿宋" w:cs="仿宋"/>
          <w:kern w:val="0"/>
          <w:sz w:val="32"/>
          <w:szCs w:val="32"/>
        </w:rPr>
        <w:t>乙方：*****</w:t>
      </w:r>
      <w:bookmarkEnd w:id="24"/>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3"/>
        <w:ind w:firstLine="627" w:firstLineChars="196"/>
        <w:jc w:val="left"/>
        <w:rPr>
          <w:rFonts w:ascii="仿宋" w:hAnsi="仿宋" w:eastAsia="仿宋" w:cs="仿宋"/>
          <w:kern w:val="0"/>
          <w:sz w:val="32"/>
          <w:szCs w:val="32"/>
        </w:rPr>
      </w:pPr>
      <w:bookmarkStart w:id="25" w:name="_Toc22867"/>
      <w:r>
        <w:rPr>
          <w:rFonts w:hint="eastAsia" w:ascii="仿宋" w:hAnsi="仿宋" w:eastAsia="仿宋" w:cs="仿宋"/>
          <w:kern w:val="0"/>
          <w:sz w:val="32"/>
          <w:szCs w:val="32"/>
        </w:rPr>
        <w:t>签约时间：2021年**月**日</w:t>
      </w:r>
      <w:bookmarkEnd w:id="25"/>
    </w:p>
    <w:p>
      <w:pPr>
        <w:pStyle w:val="3"/>
        <w:ind w:firstLine="627" w:firstLineChars="196"/>
        <w:jc w:val="left"/>
        <w:rPr>
          <w:rFonts w:ascii="仿宋" w:hAnsi="仿宋" w:eastAsia="仿宋" w:cs="仿宋"/>
          <w:kern w:val="0"/>
          <w:sz w:val="36"/>
          <w:szCs w:val="36"/>
        </w:rPr>
      </w:pPr>
      <w:bookmarkStart w:id="26" w:name="_Toc18912"/>
      <w:r>
        <w:rPr>
          <w:rFonts w:hint="eastAsia" w:ascii="仿宋" w:hAnsi="仿宋" w:eastAsia="仿宋" w:cs="仿宋"/>
          <w:kern w:val="0"/>
          <w:sz w:val="32"/>
          <w:szCs w:val="32"/>
        </w:rPr>
        <w:t>签约地点：赣州市人民医院</w:t>
      </w:r>
      <w:bookmarkEnd w:id="26"/>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2711" w:firstLineChars="900"/>
        <w:rPr>
          <w:rFonts w:ascii="FangSong_GB2312" w:hAnsi="FangSong_GB2312" w:eastAsia="FangSong_GB2312" w:cs="FangSong_GB2312"/>
          <w:b/>
          <w:color w:val="000000" w:themeColor="text1"/>
          <w:kern w:val="0"/>
          <w:sz w:val="30"/>
          <w:szCs w:val="30"/>
        </w:rPr>
      </w:pPr>
      <w:r>
        <w:rPr>
          <w:rFonts w:hint="eastAsia" w:ascii="FangSong_GB2312" w:hAnsi="FangSong_GB2312" w:eastAsia="FangSong_GB2312" w:cs="FangSong_GB2312"/>
          <w:b/>
          <w:color w:val="000000" w:themeColor="text1"/>
          <w:kern w:val="0"/>
          <w:sz w:val="30"/>
          <w:szCs w:val="30"/>
        </w:rPr>
        <w:t>赣州市人民医院****项目采购合同</w:t>
      </w:r>
    </w:p>
    <w:p>
      <w:pPr>
        <w:widowControl/>
        <w:ind w:firstLine="1400" w:firstLineChars="500"/>
        <w:rPr>
          <w:rFonts w:ascii="FangSong_GB2312" w:hAnsi="FangSong_GB2312" w:eastAsia="FangSong_GB2312" w:cs="FangSong_GB2312"/>
          <w:color w:val="000000" w:themeColor="text1"/>
          <w:sz w:val="28"/>
          <w:szCs w:val="28"/>
        </w:rPr>
      </w:pP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乙方：*****有限公司</w:t>
      </w:r>
    </w:p>
    <w:p>
      <w:pPr>
        <w:spacing w:line="500" w:lineRule="exact"/>
        <w:ind w:firstLine="140" w:firstLineChars="50"/>
        <w:rPr>
          <w:rFonts w:ascii="仿宋" w:hAnsi="仿宋" w:eastAsia="仿宋" w:cs="FangSong_GB2312"/>
          <w:color w:val="000000" w:themeColor="text1"/>
          <w:sz w:val="28"/>
          <w:szCs w:val="28"/>
        </w:rPr>
      </w:pPr>
      <w:r>
        <w:rPr>
          <w:rFonts w:hint="eastAsia" w:ascii="仿宋" w:hAnsi="仿宋" w:eastAsia="仿宋" w:cs="FangSong_GB2312"/>
          <w:color w:val="000000" w:themeColor="text1"/>
          <w:sz w:val="28"/>
          <w:szCs w:val="28"/>
        </w:rPr>
        <w:t>甲、乙双方根据</w:t>
      </w:r>
      <w:r>
        <w:rPr>
          <w:rFonts w:hint="eastAsia" w:ascii="仿宋" w:hAnsi="仿宋" w:eastAsia="仿宋" w:cs="FangSong_GB2312"/>
          <w:color w:val="000000" w:themeColor="text1"/>
          <w:sz w:val="28"/>
          <w:szCs w:val="28"/>
          <w:u w:val="single"/>
        </w:rPr>
        <w:t>赣州市人民医院组织</w:t>
      </w:r>
      <w:r>
        <w:rPr>
          <w:rFonts w:hint="eastAsia" w:ascii="仿宋" w:hAnsi="仿宋" w:eastAsia="仿宋" w:cs="FangSong_GB2312"/>
          <w:color w:val="000000" w:themeColor="text1"/>
          <w:sz w:val="28"/>
          <w:szCs w:val="28"/>
        </w:rPr>
        <w:t>（项目编号：********）</w:t>
      </w:r>
      <w:r>
        <w:rPr>
          <w:rFonts w:hint="eastAsia" w:ascii="仿宋" w:hAnsi="仿宋" w:eastAsia="仿宋" w:cs="FangSong_GB2312"/>
          <w:color w:val="000000" w:themeColor="text1"/>
          <w:sz w:val="28"/>
          <w:szCs w:val="28"/>
          <w:u w:val="single"/>
        </w:rPr>
        <w:t>竞争性谈判</w:t>
      </w:r>
      <w:r>
        <w:rPr>
          <w:rFonts w:hint="eastAsia" w:ascii="仿宋" w:hAnsi="仿宋" w:eastAsia="仿宋" w:cs="FangSong_GB2312"/>
          <w:color w:val="000000" w:themeColor="text1"/>
          <w:sz w:val="28"/>
          <w:szCs w:val="28"/>
        </w:rPr>
        <w:t>的成交结果和</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文件的要求，并经双方协商一致，同意按下述条件签订本合同。</w:t>
      </w:r>
    </w:p>
    <w:p>
      <w:pPr>
        <w:widowControl/>
        <w:spacing w:line="500" w:lineRule="exact"/>
        <w:ind w:firstLine="560" w:firstLineChars="200"/>
        <w:jc w:val="left"/>
        <w:rPr>
          <w:rFonts w:ascii="仿宋" w:hAnsi="仿宋" w:eastAsia="仿宋" w:cs="仿宋"/>
          <w:color w:val="000000" w:themeColor="text1"/>
          <w:sz w:val="28"/>
          <w:szCs w:val="28"/>
        </w:rPr>
      </w:pPr>
      <w:r>
        <w:rPr>
          <w:rFonts w:hint="eastAsia" w:ascii="仿宋" w:hAnsi="仿宋" w:eastAsia="仿宋" w:cs="FangSong_GB2312"/>
          <w:color w:val="000000" w:themeColor="text1"/>
          <w:sz w:val="28"/>
          <w:szCs w:val="28"/>
        </w:rPr>
        <w:t>一、</w:t>
      </w:r>
      <w:r>
        <w:rPr>
          <w:rFonts w:hint="eastAsia" w:ascii="仿宋" w:hAnsi="仿宋" w:eastAsia="仿宋" w:cs="仿宋"/>
          <w:color w:val="000000" w:themeColor="text1"/>
          <w:sz w:val="28"/>
          <w:szCs w:val="28"/>
        </w:rPr>
        <w:t>合同文件的组成：</w:t>
      </w:r>
    </w:p>
    <w:p>
      <w:pPr>
        <w:widowControl/>
        <w:spacing w:line="50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spacing w:line="500" w:lineRule="exact"/>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spacing w:line="500" w:lineRule="exact"/>
        <w:ind w:firstLine="560" w:firstLineChars="2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spacing w:line="500" w:lineRule="exact"/>
        <w:ind w:firstLine="560" w:firstLineChars="200"/>
        <w:jc w:val="left"/>
        <w:rPr>
          <w:rFonts w:ascii="FangSong_GB2312" w:hAnsi="FangSong_GB2312" w:eastAsia="FangSong_GB2312" w:cs="FangSong_GB2312"/>
          <w:sz w:val="28"/>
          <w:szCs w:val="28"/>
        </w:rPr>
      </w:pPr>
      <w:r>
        <w:rPr>
          <w:rFonts w:hint="eastAsia" w:ascii="仿宋" w:hAnsi="仿宋" w:eastAsia="仿宋" w:cs="仿宋"/>
          <w:color w:val="000000" w:themeColor="text1"/>
          <w:sz w:val="28"/>
          <w:szCs w:val="28"/>
        </w:rPr>
        <w:t>3、</w:t>
      </w:r>
      <w:r>
        <w:rPr>
          <w:rFonts w:hint="eastAsia" w:ascii="FangSong_GB2312" w:hAnsi="FangSong_GB2312" w:eastAsia="FangSong_GB2312" w:cs="FangSong_GB2312"/>
          <w:sz w:val="28"/>
          <w:szCs w:val="28"/>
        </w:rPr>
        <w:t>招标（竞谈）文件（</w:t>
      </w:r>
      <w:r>
        <w:rPr>
          <w:rFonts w:hint="eastAsia" w:ascii="FangSong_GB2312" w:hAnsi="仿宋" w:eastAsia="FangSong_GB2312"/>
          <w:sz w:val="28"/>
          <w:szCs w:val="28"/>
        </w:rPr>
        <w:t>含采购过程补充通知、答疑回复、变更等</w:t>
      </w:r>
      <w:r>
        <w:rPr>
          <w:rFonts w:hint="eastAsia" w:ascii="FangSong_GB2312" w:hAnsi="FangSong_GB2312" w:eastAsia="FangSong_GB2312" w:cs="FangSong_GB2312"/>
          <w:sz w:val="28"/>
          <w:szCs w:val="28"/>
        </w:rPr>
        <w:t>）；</w:t>
      </w:r>
    </w:p>
    <w:p>
      <w:pPr>
        <w:widowControl/>
        <w:spacing w:line="500" w:lineRule="exact"/>
        <w:ind w:firstLine="560" w:firstLineChars="20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4、响应文件。</w:t>
      </w:r>
    </w:p>
    <w:p>
      <w:pPr>
        <w:widowControl/>
        <w:spacing w:line="500" w:lineRule="exact"/>
        <w:ind w:firstLine="280" w:firstLineChars="10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注：若上述文件就某一事项意思表达不一致，则按以下顺序进行解释，合同优于中标通知书，中标通知书优于响应文件，响应文件优于招标（竞谈）文件。</w:t>
      </w:r>
    </w:p>
    <w:p>
      <w:pPr>
        <w:widowControl/>
        <w:spacing w:line="500" w:lineRule="exact"/>
        <w:ind w:firstLine="560" w:firstLineChars="200"/>
        <w:jc w:val="left"/>
        <w:rPr>
          <w:rFonts w:ascii="仿宋" w:hAnsi="仿宋" w:eastAsia="仿宋" w:cs="FangSong_GB2312"/>
          <w:color w:val="000000" w:themeColor="text1"/>
          <w:sz w:val="28"/>
          <w:szCs w:val="28"/>
        </w:rPr>
      </w:pPr>
      <w:r>
        <w:rPr>
          <w:rFonts w:hint="eastAsia" w:ascii="仿宋" w:hAnsi="仿宋" w:eastAsia="仿宋" w:cs="FangSong_GB2312"/>
          <w:color w:val="000000" w:themeColor="text1"/>
          <w:sz w:val="28"/>
          <w:szCs w:val="28"/>
        </w:rPr>
        <w:t>二、合同范围和条件：</w:t>
      </w:r>
    </w:p>
    <w:p>
      <w:pPr>
        <w:spacing w:line="500" w:lineRule="exact"/>
        <w:rPr>
          <w:rFonts w:ascii="仿宋" w:hAnsi="仿宋" w:eastAsia="仿宋" w:cs="宋体"/>
          <w:color w:val="000000" w:themeColor="text1"/>
          <w:kern w:val="0"/>
          <w:sz w:val="28"/>
          <w:szCs w:val="28"/>
        </w:rPr>
      </w:pPr>
      <w:r>
        <w:rPr>
          <w:rFonts w:hint="eastAsia" w:ascii="仿宋" w:hAnsi="仿宋" w:eastAsia="仿宋" w:cs="FangSong_GB2312"/>
          <w:color w:val="000000" w:themeColor="text1"/>
          <w:sz w:val="28"/>
          <w:szCs w:val="28"/>
        </w:rPr>
        <w:t>本合同的范围和条件应与上述合同文件的规定一致。</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pStyle w:val="18"/>
        <w:spacing w:before="0" w:beforeAutospacing="0" w:after="0" w:afterAutospacing="0" w:line="500" w:lineRule="exact"/>
        <w:ind w:firstLine="560" w:firstLineChars="200"/>
        <w:jc w:val="both"/>
        <w:rPr>
          <w:rFonts w:ascii="FangSong_GB2312" w:hAnsi="FangSong_GB2312" w:eastAsia="FangSong_GB2312" w:cs="FangSong_GB2312"/>
          <w:sz w:val="28"/>
          <w:szCs w:val="28"/>
        </w:rPr>
      </w:pPr>
      <w:r>
        <w:rPr>
          <w:rFonts w:hint="eastAsia" w:ascii="仿宋" w:hAnsi="仿宋" w:eastAsia="仿宋" w:cs="仿宋"/>
          <w:sz w:val="28"/>
          <w:szCs w:val="28"/>
        </w:rPr>
        <w:t>五、履约保证金：</w:t>
      </w:r>
      <w:r>
        <w:rPr>
          <w:rFonts w:hint="eastAsia" w:ascii="FangSong_GB2312" w:hAnsi="FangSong_GB2312" w:eastAsia="FangSong_GB2312" w:cs="FangSong_GB2312"/>
          <w:sz w:val="28"/>
          <w:szCs w:val="28"/>
        </w:rPr>
        <w:t>收到中标通知书后，在合同签订前，乙方按照合同金额的10%（</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×10%=</w:t>
      </w:r>
      <w:r>
        <w:rPr>
          <w:rFonts w:hint="eastAsia" w:ascii="FangSong_GB2312" w:hAnsi="FangSong_GB2312" w:eastAsia="FangSong_GB2312" w:cs="FangSong_GB2312"/>
          <w:b/>
          <w:bCs/>
          <w:sz w:val="28"/>
          <w:szCs w:val="28"/>
          <w:u w:val="single"/>
        </w:rPr>
        <w:t>****元</w:t>
      </w:r>
      <w:r>
        <w:rPr>
          <w:rFonts w:hint="eastAsia" w:ascii="FangSong_GB2312" w:hAnsi="FangSong_GB2312" w:eastAsia="FangSong_GB2312" w:cs="FangSong_GB2312"/>
          <w:sz w:val="28"/>
          <w:szCs w:val="28"/>
        </w:rPr>
        <w:t>）向甲方缴纳本项目的履约保证金（现金转账至甲方账户）。履约保证金在货物交付、验收合格后自动转为质保金。</w:t>
      </w:r>
      <w:r>
        <w:rPr>
          <w:rFonts w:hint="eastAsia" w:ascii="仿宋" w:hAnsi="仿宋" w:eastAsia="仿宋" w:cs="仿宋"/>
          <w:kern w:val="2"/>
          <w:sz w:val="28"/>
          <w:szCs w:val="28"/>
        </w:rPr>
        <w:t>不足部分在合同签订前补齐，货物验收合格后质保期结束时一次性无息退还。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六、质量保证：</w:t>
      </w:r>
      <w:r>
        <w:rPr>
          <w:rFonts w:hint="eastAsia" w:ascii="FangSong_GB2312" w:hAnsi="FangSong_GB2312" w:eastAsia="FangSong_GB2312" w:cs="FangSong_GB2312"/>
          <w:sz w:val="28"/>
          <w:szCs w:val="28"/>
        </w:rPr>
        <w:t>乙方应保证货物是全新、未使用过的原装合格正品，并完全符合本招标（谈判）文件及本合同规定的质量、规格和性能的要求。</w:t>
      </w:r>
      <w:r>
        <w:rPr>
          <w:rFonts w:hint="eastAsia" w:ascii="仿宋" w:hAnsi="仿宋" w:eastAsia="仿宋" w:cs="仿宋"/>
          <w:color w:val="000000"/>
          <w:kern w:val="0"/>
          <w:sz w:val="28"/>
          <w:szCs w:val="28"/>
        </w:rPr>
        <w:t>货物必须通过官网防伪码查询。</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八、交付时间：合同签订之日起</w:t>
      </w:r>
      <w:r>
        <w:rPr>
          <w:rFonts w:hint="eastAsia" w:ascii="仿宋" w:hAnsi="仿宋" w:eastAsia="仿宋" w:cs="仿宋"/>
          <w:b/>
          <w:bCs/>
          <w:sz w:val="28"/>
          <w:szCs w:val="28"/>
        </w:rPr>
        <w:t>30</w:t>
      </w:r>
      <w:r>
        <w:rPr>
          <w:rFonts w:hint="eastAsia" w:ascii="仿宋" w:hAnsi="仿宋" w:eastAsia="仿宋" w:cs="仿宋"/>
          <w:sz w:val="28"/>
          <w:szCs w:val="28"/>
        </w:rPr>
        <w:t>天内完成所有货物的供货。</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九、售后服务：</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1、乙方提供本合同的质保期为交付之日起</w:t>
      </w:r>
      <w:r>
        <w:rPr>
          <w:rFonts w:hint="eastAsia" w:ascii="仿宋" w:hAnsi="仿宋" w:eastAsia="仿宋" w:cs="仿宋"/>
          <w:b/>
          <w:bCs/>
          <w:color w:val="000000" w:themeColor="text1"/>
          <w:sz w:val="28"/>
          <w:szCs w:val="28"/>
        </w:rPr>
        <w:t>壹</w:t>
      </w:r>
      <w:r>
        <w:rPr>
          <w:rFonts w:hint="eastAsia" w:ascii="仿宋" w:hAnsi="仿宋" w:eastAsia="仿宋" w:cs="仿宋"/>
          <w:sz w:val="28"/>
          <w:szCs w:val="28"/>
        </w:rPr>
        <w:t>年。若乙方提供的货物质保期不符合要求，甲方有权拒收，要求乙方提供符合要求的货物，因此导致延迟交货的，按相应的违约行为处理。</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2、乙方承担因货物本身的缺陷所应负的责任；</w:t>
      </w:r>
      <w:r>
        <w:rPr>
          <w:rFonts w:hint="eastAsia" w:ascii="仿宋" w:hAnsi="仿宋" w:eastAsia="仿宋" w:cs="仿宋"/>
          <w:sz w:val="28"/>
          <w:szCs w:val="28"/>
          <w:highlight w:val="yellow"/>
        </w:rPr>
        <w:t>乙方须提供完善的售后服务，质保期内对于出现的质量问题，乙方1小时内响应，2小时内指派专业技术人员到达甲方指定地点提供维修服务，24小时内解决问题。如不能及时解决，提供甲方可以接受的解决方案或乙方无条件给予退换。</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十、验收</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本项目验收标准需完全符合</w:t>
      </w:r>
      <w:r>
        <w:rPr>
          <w:rFonts w:hint="eastAsia" w:ascii="FangSong_GB2312" w:hAnsi="FangSong_GB2312" w:eastAsia="FangSong_GB2312" w:cs="FangSong_GB2312"/>
          <w:sz w:val="28"/>
          <w:szCs w:val="28"/>
        </w:rPr>
        <w:t>招标（谈判）</w:t>
      </w:r>
      <w:r>
        <w:rPr>
          <w:rFonts w:hint="eastAsia" w:ascii="仿宋" w:hAnsi="仿宋" w:eastAsia="仿宋" w:cs="仿宋"/>
          <w:sz w:val="28"/>
          <w:szCs w:val="28"/>
        </w:rPr>
        <w:t>文件要求，如验收不合格，甲方有权终止合同并退货。</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FangSong_GB2312"/>
          <w:color w:val="000000" w:themeColor="text1"/>
          <w:sz w:val="28"/>
          <w:szCs w:val="28"/>
        </w:rPr>
        <w:t>甲方可在本次采购的货物内随机抽取样品送权威机构进行检测，由此产生的一切费用由乙方承担。若检测结果不符合</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文件参数要求，拒绝验收，重新供货，如两次抽取不符合</w:t>
      </w:r>
      <w:r>
        <w:rPr>
          <w:rFonts w:hint="eastAsia" w:ascii="FangSong_GB2312" w:hAnsi="FangSong_GB2312" w:eastAsia="FangSong_GB2312" w:cs="FangSong_GB2312"/>
          <w:sz w:val="28"/>
          <w:szCs w:val="28"/>
        </w:rPr>
        <w:t>招标（谈判）</w:t>
      </w:r>
      <w:r>
        <w:rPr>
          <w:rFonts w:hint="eastAsia" w:ascii="仿宋" w:hAnsi="仿宋" w:eastAsia="仿宋" w:cs="FangSong_GB2312"/>
          <w:color w:val="000000" w:themeColor="text1"/>
          <w:sz w:val="28"/>
          <w:szCs w:val="28"/>
        </w:rPr>
        <w:t>文件参数要求，甲方有权终止合同，没收履约保证金，</w:t>
      </w:r>
      <w:r>
        <w:rPr>
          <w:rFonts w:hint="eastAsia" w:ascii="仿宋" w:hAnsi="仿宋" w:eastAsia="仿宋" w:cs="仿宋"/>
          <w:sz w:val="28"/>
          <w:szCs w:val="28"/>
        </w:rPr>
        <w:t>并要求乙方赔偿甲方损失。</w:t>
      </w:r>
    </w:p>
    <w:p>
      <w:pPr>
        <w:widowControl/>
        <w:spacing w:line="500" w:lineRule="exact"/>
        <w:ind w:firstLine="560" w:firstLineChars="200"/>
        <w:jc w:val="left"/>
        <w:rPr>
          <w:rFonts w:hint="eastAsia" w:ascii="FangSong_GB2312" w:hAnsi="FangSong_GB2312" w:eastAsia="FangSong_GB2312" w:cs="FangSong_GB2312"/>
          <w:sz w:val="28"/>
          <w:szCs w:val="28"/>
          <w:lang w:eastAsia="zh-CN"/>
        </w:rPr>
      </w:pPr>
      <w:r>
        <w:rPr>
          <w:rFonts w:hint="eastAsia" w:ascii="FangSong_GB2312" w:hAnsi="FangSong_GB2312" w:eastAsia="FangSong_GB2312" w:cs="FangSong_GB2312"/>
          <w:sz w:val="28"/>
          <w:szCs w:val="28"/>
        </w:rPr>
        <w:t>十一、付款方式：</w:t>
      </w:r>
      <w:r>
        <w:rPr>
          <w:rFonts w:hint="eastAsia" w:ascii="FangSong_GB2312" w:hAnsi="FangSong_GB2312" w:eastAsia="FangSong_GB2312" w:cs="FangSong_GB2312"/>
          <w:sz w:val="28"/>
          <w:szCs w:val="28"/>
          <w:highlight w:val="cyan"/>
        </w:rPr>
        <w:t>费用按实际供货数量、折扣后的单价计算，乙方供货完成且经甲方验收合格后提供相应金额</w:t>
      </w:r>
      <w:r>
        <w:rPr>
          <w:rFonts w:hint="eastAsia" w:ascii="FangSong_GB2312" w:hAnsi="FangSong_GB2312" w:eastAsia="FangSong_GB2312" w:cs="FangSong_GB2312"/>
          <w:sz w:val="28"/>
          <w:szCs w:val="28"/>
          <w:highlight w:val="cyan"/>
          <w:lang w:eastAsia="zh-CN"/>
        </w:rPr>
        <w:t>的</w:t>
      </w:r>
      <w:r>
        <w:rPr>
          <w:rFonts w:hint="eastAsia" w:ascii="FangSong_GB2312" w:hAnsi="FangSong_GB2312" w:eastAsia="FangSong_GB2312" w:cs="FangSong_GB2312"/>
          <w:sz w:val="28"/>
          <w:szCs w:val="28"/>
          <w:highlight w:val="cyan"/>
        </w:rPr>
        <w:t>合法税票</w:t>
      </w:r>
      <w:r>
        <w:rPr>
          <w:rFonts w:hint="eastAsia" w:ascii="FangSong_GB2312" w:hAnsi="FangSong_GB2312" w:eastAsia="FangSong_GB2312" w:cs="FangSong_GB2312"/>
          <w:sz w:val="28"/>
          <w:szCs w:val="28"/>
          <w:highlight w:val="cyan"/>
          <w:lang w:eastAsia="zh-CN"/>
        </w:rPr>
        <w:t>。</w:t>
      </w:r>
      <w:r>
        <w:rPr>
          <w:rFonts w:hint="eastAsia" w:ascii="FangSong_GB2312" w:hAnsi="FangSong_GB2312" w:eastAsia="FangSong_GB2312" w:cs="FangSong_GB2312"/>
          <w:sz w:val="28"/>
          <w:szCs w:val="28"/>
          <w:highlight w:val="cyan"/>
        </w:rPr>
        <w:t>甲方审核无误后两个月内以转帐方式一次性付清相应金额货款</w:t>
      </w:r>
      <w:r>
        <w:rPr>
          <w:rFonts w:hint="eastAsia" w:ascii="FangSong_GB2312" w:hAnsi="FangSong_GB2312" w:eastAsia="FangSong_GB2312" w:cs="FangSong_GB2312"/>
          <w:sz w:val="28"/>
          <w:szCs w:val="28"/>
          <w:highlight w:val="cyan"/>
          <w:lang w:eastAsia="zh-CN"/>
        </w:rPr>
        <w:t>，不计利息。</w:t>
      </w:r>
      <w:bookmarkStart w:id="51" w:name="_GoBack"/>
      <w:bookmarkEnd w:id="51"/>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十二、违约责任：</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FangSong_GB2312" w:hAnsi="FangSong_GB2312" w:eastAsia="FangSong_GB2312" w:cs="FangSong_GB2312"/>
          <w:sz w:val="28"/>
          <w:szCs w:val="28"/>
          <w:highlight w:val="yellow"/>
        </w:rPr>
        <w:t>交货违约：</w:t>
      </w:r>
      <w:r>
        <w:rPr>
          <w:rFonts w:hint="eastAsia" w:ascii="仿宋" w:hAnsi="仿宋" w:eastAsia="仿宋" w:cs="仿宋"/>
          <w:sz w:val="28"/>
          <w:szCs w:val="28"/>
        </w:rPr>
        <w:t>如果乙方没有按照合同规定的时间交货和提供服务，甲方可从货款中扣除违约赔偿费，赔偿费应按每迟交一天，按合同总价的</w:t>
      </w:r>
      <w:r>
        <w:rPr>
          <w:rFonts w:hint="eastAsia" w:ascii="仿宋" w:hAnsi="仿宋" w:eastAsia="仿宋" w:cs="仿宋"/>
          <w:color w:val="000000"/>
          <w:sz w:val="28"/>
          <w:szCs w:val="28"/>
        </w:rPr>
        <w:t>1%</w:t>
      </w:r>
      <w:r>
        <w:rPr>
          <w:rFonts w:hint="eastAsia" w:ascii="仿宋" w:hAnsi="仿宋" w:eastAsia="仿宋" w:cs="仿宋"/>
          <w:sz w:val="28"/>
          <w:szCs w:val="28"/>
        </w:rPr>
        <w:t>计收。但违约赔偿费的最高限额为合同总价的</w:t>
      </w:r>
      <w:r>
        <w:rPr>
          <w:rFonts w:hint="eastAsia" w:ascii="仿宋" w:hAnsi="仿宋" w:eastAsia="仿宋" w:cs="仿宋"/>
          <w:sz w:val="28"/>
          <w:szCs w:val="28"/>
          <w:highlight w:val="cyan"/>
        </w:rPr>
        <w:t>20</w:t>
      </w:r>
      <w:r>
        <w:rPr>
          <w:rFonts w:hint="eastAsia" w:ascii="仿宋" w:hAnsi="仿宋" w:eastAsia="仿宋" w:cs="仿宋"/>
          <w:sz w:val="28"/>
          <w:szCs w:val="28"/>
        </w:rPr>
        <w:t>%。不足1天超过12个小时按一天计算。如果乙方在达到最高限额后仍不能交货，甲方可考虑终止合同，没收履约保证金，并要求乙方赔偿甲方损失。</w:t>
      </w:r>
    </w:p>
    <w:p>
      <w:pPr>
        <w:widowControl/>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w:t>
      </w:r>
      <w:r>
        <w:rPr>
          <w:rFonts w:hint="eastAsia" w:ascii="FangSong_GB2312" w:hAnsi="FangSong_GB2312" w:eastAsia="FangSong_GB2312" w:cs="FangSong_GB2312"/>
          <w:sz w:val="28"/>
          <w:szCs w:val="28"/>
          <w:highlight w:val="yellow"/>
        </w:rPr>
        <w:t>质保违约：</w:t>
      </w:r>
      <w:r>
        <w:rPr>
          <w:rFonts w:hint="eastAsia" w:ascii="仿宋" w:hAnsi="仿宋" w:eastAsia="仿宋" w:cs="仿宋"/>
          <w:bCs/>
          <w:sz w:val="28"/>
          <w:szCs w:val="28"/>
        </w:rPr>
        <w:t>保修期内货物发生故障，投标供应商须在响应文件中承诺的时间内指派专业技术人员到达采购人指定地点提供维修服务，“实际到达时间”每超过“承诺应到时间”24小时，扣除履约保证金2%，以此类推。</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十三、其他约定：</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w:t>
      </w:r>
      <w:r>
        <w:rPr>
          <w:rFonts w:hint="eastAsia" w:ascii="仿宋" w:hAnsi="仿宋" w:eastAsia="仿宋" w:cs="仿宋"/>
          <w:sz w:val="28"/>
          <w:szCs w:val="28"/>
          <w:lang w:eastAsia="zh-CN"/>
        </w:rPr>
        <w:t>由</w:t>
      </w:r>
      <w:r>
        <w:rPr>
          <w:rFonts w:hint="eastAsia" w:ascii="仿宋" w:hAnsi="仿宋" w:eastAsia="仿宋" w:cs="仿宋"/>
          <w:sz w:val="28"/>
          <w:szCs w:val="28"/>
        </w:rPr>
        <w:t>乙方承担。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highlight w:val="cyan"/>
        </w:rPr>
        <w:t>3、本合同预算总金额为275905元，项目发生总金额达到预算总金额时，合同自然结束。</w:t>
      </w:r>
    </w:p>
    <w:p>
      <w:pPr>
        <w:pStyle w:val="2"/>
        <w:spacing w:line="500" w:lineRule="exact"/>
      </w:pP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spacing w:line="500" w:lineRule="exact"/>
        <w:ind w:firstLine="560" w:firstLineChars="200"/>
        <w:rPr>
          <w:rFonts w:ascii="仿宋" w:hAnsi="仿宋" w:eastAsia="仿宋" w:cs="FangSong_GB2312"/>
          <w:color w:val="000000" w:themeColor="text1"/>
          <w:sz w:val="28"/>
          <w:szCs w:val="28"/>
        </w:rPr>
      </w:pPr>
      <w:r>
        <w:rPr>
          <w:rFonts w:hint="eastAsia" w:ascii="仿宋" w:hAnsi="仿宋" w:eastAsia="仿宋" w:cs="仿宋"/>
          <w:sz w:val="28"/>
          <w:szCs w:val="28"/>
        </w:rPr>
        <w:t>十五、</w:t>
      </w:r>
      <w:r>
        <w:rPr>
          <w:rFonts w:hint="eastAsia" w:ascii="仿宋" w:hAnsi="仿宋" w:eastAsia="仿宋" w:cs="FangSong_GB2312"/>
          <w:color w:val="000000" w:themeColor="text1"/>
          <w:sz w:val="28"/>
          <w:szCs w:val="28"/>
        </w:rPr>
        <w:t>本合同一式肆份，以中文书写。甲方叁份、</w:t>
      </w:r>
      <w:r>
        <w:rPr>
          <w:rFonts w:hint="eastAsia" w:ascii="仿宋" w:hAnsi="仿宋" w:eastAsia="仿宋" w:cs="FangSong_GB2312"/>
          <w:color w:val="000000" w:themeColor="text1"/>
          <w:sz w:val="28"/>
          <w:szCs w:val="28"/>
          <w:u w:val="single"/>
        </w:rPr>
        <w:t>乙方壹</w:t>
      </w:r>
      <w:r>
        <w:rPr>
          <w:rFonts w:hint="eastAsia" w:ascii="仿宋" w:hAnsi="仿宋" w:eastAsia="仿宋" w:cs="FangSong_GB2312"/>
          <w:color w:val="000000" w:themeColor="text1"/>
          <w:sz w:val="28"/>
          <w:szCs w:val="28"/>
        </w:rPr>
        <w:t>份，具有同等法律效力。</w:t>
      </w:r>
    </w:p>
    <w:p>
      <w:pPr>
        <w:widowControl/>
        <w:spacing w:line="500" w:lineRule="exact"/>
        <w:ind w:firstLine="560" w:firstLineChars="200"/>
        <w:rPr>
          <w:rFonts w:ascii="FangSong_GB2312" w:hAnsi="FangSong_GB2312" w:eastAsia="FangSong_GB2312" w:cs="FangSong_GB2312"/>
          <w:sz w:val="28"/>
          <w:szCs w:val="28"/>
        </w:rPr>
      </w:pPr>
      <w:r>
        <w:rPr>
          <w:rFonts w:hint="eastAsia" w:ascii="仿宋" w:hAnsi="仿宋" w:eastAsia="仿宋" w:cs="仿宋"/>
          <w:sz w:val="28"/>
          <w:szCs w:val="28"/>
        </w:rPr>
        <w:t>十六、本协议未尽事宜甲乙双方协商解决，</w:t>
      </w:r>
      <w:r>
        <w:rPr>
          <w:rFonts w:hint="eastAsia" w:ascii="FangSong_GB2312" w:hAnsi="FangSong_GB2312" w:eastAsia="FangSong_GB2312" w:cs="FangSong_GB2312"/>
          <w:sz w:val="28"/>
          <w:szCs w:val="28"/>
        </w:rPr>
        <w:t>协商不成可向甲方所在地的人民法院诉讼。</w:t>
      </w:r>
    </w:p>
    <w:p>
      <w:pPr>
        <w:pStyle w:val="8"/>
      </w:pPr>
    </w:p>
    <w:p>
      <w:pPr>
        <w:widowControl/>
        <w:tabs>
          <w:tab w:val="left" w:pos="6100"/>
        </w:tabs>
        <w:spacing w:line="480" w:lineRule="auto"/>
        <w:ind w:left="5891" w:hanging="5891" w:hangingChars="2104"/>
        <w:jc w:val="left"/>
        <w:rPr>
          <w:rFonts w:ascii="FangSong_GB2312" w:hAnsi="FangSong_GB2312" w:eastAsia="FangSong_GB2312" w:cs="FangSong_GB2312"/>
          <w:b/>
          <w:sz w:val="28"/>
          <w:szCs w:val="28"/>
        </w:rPr>
      </w:pPr>
      <w:r>
        <w:rPr>
          <w:rFonts w:hint="eastAsia" w:ascii="FangSong_GB2312" w:hAnsi="FangSong_GB2312" w:eastAsia="FangSong_GB2312" w:cs="FangSong_GB2312"/>
          <w:sz w:val="28"/>
          <w:szCs w:val="28"/>
        </w:rPr>
        <w:t>甲方（盖章）：赣州市人民医院  乙方（盖章）：</w:t>
      </w:r>
    </w:p>
    <w:p>
      <w:pPr>
        <w:widowControl/>
        <w:spacing w:line="480" w:lineRule="auto"/>
        <w:ind w:left="6160" w:hanging="6160" w:hangingChars="2200"/>
        <w:jc w:val="left"/>
        <w:rPr>
          <w:rFonts w:ascii="FangSong_GB2312" w:hAnsi="FangSong_GB2312" w:eastAsia="FangSong_GB2312" w:cs="FangSong_GB2312"/>
          <w:sz w:val="28"/>
          <w:szCs w:val="28"/>
        </w:rPr>
      </w:pPr>
    </w:p>
    <w:p>
      <w:pPr>
        <w:widowControl/>
        <w:spacing w:line="480" w:lineRule="auto"/>
        <w:ind w:left="4620" w:hanging="4620" w:hangingChars="16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法人授权代表签字 ：          法定代表人</w:t>
      </w:r>
    </w:p>
    <w:p>
      <w:pPr>
        <w:widowControl/>
        <w:spacing w:line="480" w:lineRule="auto"/>
        <w:ind w:left="4621" w:leftChars="1867" w:hanging="700" w:hangingChars="2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（或法人授权代表）签字</w:t>
      </w:r>
      <w:r>
        <w:rPr>
          <w:rFonts w:hint="eastAsia" w:ascii="FangSong_GB2312" w:hAnsi="FangSong_GB2312" w:eastAsia="FangSong_GB2312" w:cs="FangSong_GB2312"/>
          <w:sz w:val="24"/>
          <w:szCs w:val="28"/>
        </w:rPr>
        <w:t>：</w:t>
      </w:r>
    </w:p>
    <w:p>
      <w:pPr>
        <w:widowControl/>
        <w:spacing w:line="480" w:lineRule="auto"/>
        <w:ind w:left="5460" w:hanging="5460" w:hangingChars="19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甲方纳税人识别号：           乙方开户行： </w:t>
      </w:r>
    </w:p>
    <w:p>
      <w:pPr>
        <w:rPr>
          <w:rFonts w:hint="eastAsia"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账号：</w:t>
      </w:r>
    </w:p>
    <w:p>
      <w:pPr>
        <w:pStyle w:val="2"/>
      </w:pPr>
    </w:p>
    <w:p>
      <w:pPr>
        <w:widowControl/>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签字日期：    年  月  日     签字日期：    年  月  日</w:t>
      </w:r>
    </w:p>
    <w:p>
      <w:pPr>
        <w:pStyle w:val="2"/>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asciiTheme="minorEastAsia" w:hAnsiTheme="minorEastAsia" w:eastAsiaTheme="minorEastAsia"/>
          <w:b/>
          <w:sz w:val="72"/>
          <w:szCs w:val="72"/>
        </w:rPr>
      </w:pPr>
      <w:r>
        <w:rPr>
          <w:rFonts w:hint="eastAsia"/>
          <w:b/>
          <w:sz w:val="32"/>
        </w:rPr>
        <w:t>附件  响应文件格式</w:t>
      </w:r>
      <w:bookmarkEnd w:id="19"/>
      <w:bookmarkEnd w:id="20"/>
    </w:p>
    <w:p>
      <w:pPr>
        <w:spacing w:line="440" w:lineRule="atLeast"/>
        <w:jc w:val="center"/>
        <w:rPr>
          <w:rFonts w:hint="eastAsia" w:asciiTheme="minorEastAsia" w:hAnsiTheme="minorEastAsia" w:eastAsiaTheme="minorEastAsia"/>
          <w:b/>
          <w:sz w:val="72"/>
          <w:szCs w:val="72"/>
        </w:rPr>
      </w:pPr>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pgSz w:w="11907" w:h="16840"/>
          <w:pgMar w:top="1474" w:right="850" w:bottom="1474" w:left="1134" w:header="720" w:footer="720" w:gutter="0"/>
          <w:cols w:space="720" w:num="1"/>
          <w:titlePg/>
          <w:docGrid w:linePitch="285" w:charSpace="0"/>
        </w:sectPr>
      </w:pPr>
      <w:r>
        <w:rPr>
          <w:rFonts w:hint="eastAsia" w:asciiTheme="minorEastAsia" w:hAnsiTheme="minorEastAsia" w:eastAsiaTheme="minorEastAsia"/>
          <w:sz w:val="24"/>
          <w:szCs w:val="24"/>
        </w:rPr>
        <w:t xml:space="preserve">    年   月   日</w:t>
      </w:r>
    </w:p>
    <w:p>
      <w:pPr>
        <w:pStyle w:val="3"/>
        <w:spacing w:before="240" w:after="240"/>
        <w:jc w:val="center"/>
        <w:rPr>
          <w:b/>
          <w:sz w:val="32"/>
        </w:rPr>
      </w:pPr>
      <w:bookmarkStart w:id="27" w:name="_Toc17436"/>
      <w:bookmarkStart w:id="28" w:name="_Toc533775679"/>
      <w:r>
        <w:rPr>
          <w:rFonts w:hint="eastAsia"/>
          <w:b/>
          <w:sz w:val="32"/>
        </w:rPr>
        <w:t>1. 谈判响应书</w:t>
      </w:r>
      <w:bookmarkEnd w:id="27"/>
      <w:bookmarkEnd w:id="28"/>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9" w:type="default"/>
          <w:pgSz w:w="11907" w:h="16840"/>
          <w:pgMar w:top="1474" w:right="1134" w:bottom="1474" w:left="1134" w:header="720" w:footer="720" w:gutter="0"/>
          <w:cols w:space="720" w:num="1"/>
          <w:docGrid w:linePitch="285" w:charSpace="0"/>
        </w:sectPr>
      </w:pPr>
    </w:p>
    <w:p>
      <w:pPr>
        <w:pStyle w:val="3"/>
        <w:spacing w:before="240" w:after="240"/>
        <w:jc w:val="center"/>
        <w:rPr>
          <w:b/>
          <w:sz w:val="32"/>
        </w:rPr>
      </w:pPr>
      <w:bookmarkStart w:id="29" w:name="_Toc533775680"/>
      <w:bookmarkStart w:id="30" w:name="_Toc19180"/>
      <w:r>
        <w:rPr>
          <w:rFonts w:hint="eastAsia"/>
          <w:b/>
          <w:sz w:val="32"/>
        </w:rPr>
        <w:t>2．报价表</w:t>
      </w:r>
      <w:bookmarkEnd w:id="29"/>
      <w:bookmarkEnd w:id="30"/>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23"/>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highlight w:val="cyan"/>
              </w:rPr>
              <w:t>折扣率</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0" w:type="default"/>
          <w:footerReference r:id="rId11" w:type="even"/>
          <w:pgSz w:w="16840" w:h="11907" w:orient="landscape"/>
          <w:pgMar w:top="1134" w:right="1474" w:bottom="1814" w:left="1474" w:header="720" w:footer="720" w:gutter="0"/>
          <w:cols w:space="720" w:num="1"/>
          <w:docGrid w:linePitch="285" w:charSpace="0"/>
        </w:sectPr>
      </w:pPr>
    </w:p>
    <w:p>
      <w:pPr>
        <w:pStyle w:val="3"/>
        <w:spacing w:before="240" w:after="240"/>
        <w:jc w:val="center"/>
        <w:rPr>
          <w:b/>
          <w:sz w:val="32"/>
        </w:rPr>
      </w:pPr>
      <w:bookmarkStart w:id="31" w:name="_Toc533775681"/>
      <w:bookmarkStart w:id="32" w:name="_Toc2660"/>
      <w:r>
        <w:rPr>
          <w:rFonts w:hint="eastAsia"/>
          <w:b/>
          <w:sz w:val="32"/>
        </w:rPr>
        <w:t>3．分项报价表</w:t>
      </w:r>
      <w:bookmarkEnd w:id="31"/>
      <w:bookmarkEnd w:id="32"/>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23"/>
        <w:tblW w:w="125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highlight w:val="cyan"/>
              </w:rPr>
              <w:t>折扣率</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33" w:name="_Toc29424"/>
      <w:bookmarkStart w:id="34" w:name="_Toc533775682"/>
      <w:r>
        <w:rPr>
          <w:rFonts w:hint="eastAsia"/>
          <w:b/>
          <w:sz w:val="32"/>
        </w:rPr>
        <w:t>4</w:t>
      </w:r>
      <w:r>
        <w:rPr>
          <w:b/>
          <w:sz w:val="32"/>
        </w:rPr>
        <w:t>.</w:t>
      </w:r>
      <w:r>
        <w:rPr>
          <w:rFonts w:hint="eastAsia"/>
          <w:b/>
          <w:sz w:val="32"/>
        </w:rPr>
        <w:t xml:space="preserve"> 技术规格响应/偏离表</w:t>
      </w:r>
      <w:bookmarkEnd w:id="33"/>
      <w:bookmarkEnd w:id="3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2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35" w:name="_Toc533775683"/>
      <w:bookmarkStart w:id="36" w:name="_Toc7261"/>
      <w:r>
        <w:rPr>
          <w:rFonts w:hint="eastAsia"/>
          <w:b/>
          <w:sz w:val="32"/>
        </w:rPr>
        <w:t>5</w:t>
      </w:r>
      <w:r>
        <w:rPr>
          <w:b/>
          <w:sz w:val="32"/>
        </w:rPr>
        <w:t>.</w:t>
      </w:r>
      <w:r>
        <w:rPr>
          <w:rFonts w:hint="eastAsia"/>
          <w:b/>
          <w:sz w:val="32"/>
        </w:rPr>
        <w:t xml:space="preserve"> 商务条款响应/偏离表</w:t>
      </w:r>
      <w:bookmarkEnd w:id="35"/>
      <w:bookmarkEnd w:id="3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2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37" w:name="_Toc12055"/>
      <w:bookmarkStart w:id="38" w:name="_Toc533775684"/>
      <w:r>
        <w:rPr>
          <w:rFonts w:hint="eastAsia"/>
          <w:b/>
          <w:sz w:val="32"/>
        </w:rPr>
        <w:t>6</w:t>
      </w:r>
      <w:r>
        <w:rPr>
          <w:b/>
          <w:sz w:val="32"/>
        </w:rPr>
        <w:t>.</w:t>
      </w:r>
      <w:r>
        <w:rPr>
          <w:rFonts w:hint="eastAsia"/>
          <w:b/>
          <w:sz w:val="32"/>
        </w:rPr>
        <w:t xml:space="preserve"> 其他证明资料</w:t>
      </w:r>
      <w:bookmarkEnd w:id="37"/>
      <w:bookmarkEnd w:id="38"/>
    </w:p>
    <w:p>
      <w:pPr>
        <w:pStyle w:val="4"/>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39" w:name="_Toc475970091"/>
      <w:r>
        <w:rPr>
          <w:rFonts w:hint="eastAsia" w:asciiTheme="minorEastAsia" w:hAnsiTheme="minorEastAsia" w:eastAsiaTheme="minorEastAsia"/>
          <w:b/>
          <w:sz w:val="24"/>
          <w:szCs w:val="24"/>
        </w:rPr>
        <w:t>格式6-1. 供应商情况一览表</w:t>
      </w:r>
      <w:bookmarkEnd w:id="39"/>
    </w:p>
    <w:p>
      <w:pPr>
        <w:spacing w:line="440" w:lineRule="atLeast"/>
        <w:jc w:val="center"/>
        <w:rPr>
          <w:rFonts w:asciiTheme="minorEastAsia" w:hAnsiTheme="minorEastAsia" w:eastAsiaTheme="minorEastAsia"/>
          <w:sz w:val="24"/>
          <w:szCs w:val="24"/>
        </w:rPr>
      </w:pPr>
    </w:p>
    <w:tbl>
      <w:tblPr>
        <w:tblStyle w:val="23"/>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40" w:name="_Toc461116134"/>
      <w:bookmarkStart w:id="41"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40"/>
      <w:bookmarkEnd w:id="41"/>
    </w:p>
    <w:p>
      <w:pPr>
        <w:spacing w:line="440" w:lineRule="atLeast"/>
        <w:jc w:val="center"/>
        <w:rPr>
          <w:rFonts w:asciiTheme="minorEastAsia" w:hAnsiTheme="minorEastAsia" w:eastAsiaTheme="minorEastAsia"/>
          <w:sz w:val="24"/>
          <w:szCs w:val="24"/>
        </w:rPr>
      </w:pPr>
    </w:p>
    <w:tbl>
      <w:tblPr>
        <w:tblStyle w:val="23"/>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4"/>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3"/>
        <w:spacing w:before="240" w:after="240"/>
        <w:jc w:val="center"/>
        <w:rPr>
          <w:b/>
          <w:sz w:val="32"/>
        </w:rPr>
      </w:pPr>
      <w:bookmarkStart w:id="42" w:name="_Toc24922"/>
      <w:bookmarkStart w:id="43" w:name="_Toc533775686"/>
      <w:r>
        <w:rPr>
          <w:rFonts w:hint="eastAsia"/>
          <w:b/>
          <w:sz w:val="32"/>
        </w:rPr>
        <w:t>7</w:t>
      </w:r>
      <w:r>
        <w:rPr>
          <w:b/>
          <w:sz w:val="32"/>
        </w:rPr>
        <w:t>.</w:t>
      </w:r>
      <w:r>
        <w:rPr>
          <w:rFonts w:hint="eastAsia"/>
          <w:b/>
          <w:sz w:val="32"/>
        </w:rPr>
        <w:t>技术文件</w:t>
      </w:r>
      <w:bookmarkEnd w:id="42"/>
      <w:bookmarkEnd w:id="43"/>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2" w:type="default"/>
          <w:pgSz w:w="11906" w:h="16838"/>
          <w:pgMar w:top="1418" w:right="1247" w:bottom="1418" w:left="1814" w:header="851" w:footer="992" w:gutter="0"/>
          <w:cols w:space="425" w:num="1"/>
          <w:docGrid w:type="lines" w:linePitch="312" w:charSpace="0"/>
        </w:sectPr>
      </w:pPr>
    </w:p>
    <w:p>
      <w:pPr>
        <w:pStyle w:val="3"/>
        <w:spacing w:before="240" w:after="240"/>
        <w:jc w:val="center"/>
        <w:rPr>
          <w:b/>
          <w:sz w:val="32"/>
        </w:rPr>
      </w:pPr>
      <w:bookmarkStart w:id="44" w:name="_Toc293934829"/>
      <w:bookmarkStart w:id="45" w:name="_Toc1259"/>
      <w:bookmarkStart w:id="46" w:name="_Toc533775687"/>
      <w:r>
        <w:rPr>
          <w:rFonts w:hint="eastAsia"/>
          <w:b/>
          <w:sz w:val="32"/>
        </w:rPr>
        <w:t>8</w:t>
      </w:r>
      <w:r>
        <w:rPr>
          <w:b/>
          <w:sz w:val="32"/>
        </w:rPr>
        <w:t>.</w:t>
      </w:r>
      <w:bookmarkEnd w:id="44"/>
      <w:r>
        <w:rPr>
          <w:rFonts w:hint="eastAsia"/>
          <w:b/>
          <w:sz w:val="32"/>
        </w:rPr>
        <w:t>供应商应当提交的资格、资信证明文件</w:t>
      </w:r>
      <w:bookmarkEnd w:id="45"/>
      <w:bookmarkEnd w:id="46"/>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highlight w:val="yellow"/>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40"/>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highlight w:val="yellow"/>
        </w:rPr>
        <w:t>8-3.有依法缴纳税收和社会保障资金的良好记录的证明文件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40"/>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3" w:type="default"/>
          <w:footerReference r:id="rId14"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47" w:name="_Toc262628298"/>
      <w:bookmarkStart w:id="48" w:name="_Toc262628299"/>
      <w:r>
        <w:rPr>
          <w:rFonts w:hint="eastAsia" w:asciiTheme="minorEastAsia" w:hAnsiTheme="minorEastAsia" w:eastAsiaTheme="minorEastAsia"/>
          <w:b/>
          <w:sz w:val="24"/>
          <w:szCs w:val="24"/>
        </w:rPr>
        <w:t>格式8-6.供应商的资格声明</w:t>
      </w:r>
      <w:bookmarkEnd w:id="47"/>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48"/>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49" w:name="_Toc495487764"/>
      <w:bookmarkStart w:id="50" w:name="_Toc499477458"/>
      <w:r>
        <w:rPr>
          <w:rFonts w:hint="eastAsia" w:asciiTheme="minorEastAsia" w:hAnsiTheme="minorEastAsia" w:eastAsiaTheme="minorEastAsia"/>
          <w:b/>
          <w:sz w:val="24"/>
          <w:szCs w:val="24"/>
        </w:rPr>
        <w:t>8-7.其他资格证明文件</w:t>
      </w:r>
      <w:bookmarkEnd w:id="49"/>
      <w:bookmarkEnd w:id="50"/>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5"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w:pict>
        <v:shape id="_x0000_s4104" o:spid="_x0000_s410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pict>
        <v:shape id="_x0000_s4105" o:spid="_x0000_s410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sdt>
      <w:sdtPr>
        <w:id w:val="10841087"/>
      </w:sdtPr>
      <w:sdtContent/>
    </w:sdt>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9E9A"/>
    <w:multiLevelType w:val="singleLevel"/>
    <w:tmpl w:val="1F909E9A"/>
    <w:lvl w:ilvl="0" w:tentative="0">
      <w:start w:val="10"/>
      <w:numFmt w:val="decimal"/>
      <w:lvlText w:val="%1."/>
      <w:lvlJc w:val="left"/>
      <w:pPr>
        <w:tabs>
          <w:tab w:val="left" w:pos="312"/>
        </w:tabs>
      </w:pPr>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325E6"/>
    <w:rsid w:val="00062EC7"/>
    <w:rsid w:val="0008464A"/>
    <w:rsid w:val="000923AA"/>
    <w:rsid w:val="000B0F07"/>
    <w:rsid w:val="000E59B1"/>
    <w:rsid w:val="000E6A5B"/>
    <w:rsid w:val="000F79BE"/>
    <w:rsid w:val="00140EED"/>
    <w:rsid w:val="0016252E"/>
    <w:rsid w:val="001D45E0"/>
    <w:rsid w:val="001F2228"/>
    <w:rsid w:val="001F265F"/>
    <w:rsid w:val="001F6F82"/>
    <w:rsid w:val="00222F4B"/>
    <w:rsid w:val="00241EC0"/>
    <w:rsid w:val="00243259"/>
    <w:rsid w:val="002823A6"/>
    <w:rsid w:val="00284779"/>
    <w:rsid w:val="0029334A"/>
    <w:rsid w:val="002F0C52"/>
    <w:rsid w:val="003103CF"/>
    <w:rsid w:val="00320237"/>
    <w:rsid w:val="0034706E"/>
    <w:rsid w:val="00362F96"/>
    <w:rsid w:val="0037103C"/>
    <w:rsid w:val="003B2BA6"/>
    <w:rsid w:val="003B4453"/>
    <w:rsid w:val="003C3981"/>
    <w:rsid w:val="003D7CBF"/>
    <w:rsid w:val="00470E9F"/>
    <w:rsid w:val="004F2C37"/>
    <w:rsid w:val="004F57EE"/>
    <w:rsid w:val="00520A77"/>
    <w:rsid w:val="00583B08"/>
    <w:rsid w:val="00595898"/>
    <w:rsid w:val="005970B0"/>
    <w:rsid w:val="005A1707"/>
    <w:rsid w:val="005C1514"/>
    <w:rsid w:val="00606F17"/>
    <w:rsid w:val="0068322F"/>
    <w:rsid w:val="006A6165"/>
    <w:rsid w:val="006B2115"/>
    <w:rsid w:val="007054CD"/>
    <w:rsid w:val="0070555C"/>
    <w:rsid w:val="007230AE"/>
    <w:rsid w:val="007555F5"/>
    <w:rsid w:val="007B4412"/>
    <w:rsid w:val="007F33BD"/>
    <w:rsid w:val="0080415A"/>
    <w:rsid w:val="00887C6A"/>
    <w:rsid w:val="008C31FC"/>
    <w:rsid w:val="008C3ADA"/>
    <w:rsid w:val="00945F62"/>
    <w:rsid w:val="00946E9E"/>
    <w:rsid w:val="00983B53"/>
    <w:rsid w:val="009B332A"/>
    <w:rsid w:val="009D44A8"/>
    <w:rsid w:val="00A2769E"/>
    <w:rsid w:val="00A574FA"/>
    <w:rsid w:val="00B013C4"/>
    <w:rsid w:val="00B1204C"/>
    <w:rsid w:val="00B31A76"/>
    <w:rsid w:val="00B53158"/>
    <w:rsid w:val="00B80D3B"/>
    <w:rsid w:val="00BA54A1"/>
    <w:rsid w:val="00BD0040"/>
    <w:rsid w:val="00BD7DFC"/>
    <w:rsid w:val="00BF161C"/>
    <w:rsid w:val="00C12121"/>
    <w:rsid w:val="00C51DAB"/>
    <w:rsid w:val="00CE5392"/>
    <w:rsid w:val="00D4312B"/>
    <w:rsid w:val="00DA6B47"/>
    <w:rsid w:val="00DF188A"/>
    <w:rsid w:val="00E02751"/>
    <w:rsid w:val="00E113B0"/>
    <w:rsid w:val="00E83C01"/>
    <w:rsid w:val="00E87C1E"/>
    <w:rsid w:val="00F138FE"/>
    <w:rsid w:val="00F204CC"/>
    <w:rsid w:val="00F66CFE"/>
    <w:rsid w:val="00F7786A"/>
    <w:rsid w:val="020413E9"/>
    <w:rsid w:val="03A25835"/>
    <w:rsid w:val="03DB0C15"/>
    <w:rsid w:val="040B2539"/>
    <w:rsid w:val="05944970"/>
    <w:rsid w:val="05A259F1"/>
    <w:rsid w:val="05D47BAB"/>
    <w:rsid w:val="06434357"/>
    <w:rsid w:val="067426BF"/>
    <w:rsid w:val="09C0315B"/>
    <w:rsid w:val="0BEB199A"/>
    <w:rsid w:val="0D114D25"/>
    <w:rsid w:val="0DBF66E3"/>
    <w:rsid w:val="0E161F02"/>
    <w:rsid w:val="0FF244B6"/>
    <w:rsid w:val="11635169"/>
    <w:rsid w:val="13194098"/>
    <w:rsid w:val="136F081D"/>
    <w:rsid w:val="15C21D0E"/>
    <w:rsid w:val="171B60AF"/>
    <w:rsid w:val="185F2E14"/>
    <w:rsid w:val="1967240D"/>
    <w:rsid w:val="1CE11745"/>
    <w:rsid w:val="1EAE02AF"/>
    <w:rsid w:val="1EDC6A30"/>
    <w:rsid w:val="21152A38"/>
    <w:rsid w:val="21B40E5C"/>
    <w:rsid w:val="24326DF1"/>
    <w:rsid w:val="243C45AE"/>
    <w:rsid w:val="2787664C"/>
    <w:rsid w:val="27D5128E"/>
    <w:rsid w:val="29A84304"/>
    <w:rsid w:val="2EA451BE"/>
    <w:rsid w:val="2F0C4AC8"/>
    <w:rsid w:val="30453DA7"/>
    <w:rsid w:val="31910022"/>
    <w:rsid w:val="33C852BE"/>
    <w:rsid w:val="350230B9"/>
    <w:rsid w:val="35A6339D"/>
    <w:rsid w:val="37285450"/>
    <w:rsid w:val="37513ABD"/>
    <w:rsid w:val="37D35675"/>
    <w:rsid w:val="37DF52E0"/>
    <w:rsid w:val="382B61FA"/>
    <w:rsid w:val="3C8461D9"/>
    <w:rsid w:val="3DB86EC2"/>
    <w:rsid w:val="3E36565C"/>
    <w:rsid w:val="3E5A620D"/>
    <w:rsid w:val="3F566DB0"/>
    <w:rsid w:val="3FDB4206"/>
    <w:rsid w:val="40044169"/>
    <w:rsid w:val="423F51F0"/>
    <w:rsid w:val="427450A4"/>
    <w:rsid w:val="44AC07D5"/>
    <w:rsid w:val="479C1B17"/>
    <w:rsid w:val="47AB1A0B"/>
    <w:rsid w:val="495316D7"/>
    <w:rsid w:val="4AD203D4"/>
    <w:rsid w:val="4E3459A1"/>
    <w:rsid w:val="4F431A3F"/>
    <w:rsid w:val="50A12457"/>
    <w:rsid w:val="53A40A65"/>
    <w:rsid w:val="55B67588"/>
    <w:rsid w:val="5AD7610B"/>
    <w:rsid w:val="5AE1172E"/>
    <w:rsid w:val="5F10720C"/>
    <w:rsid w:val="5F482BBC"/>
    <w:rsid w:val="608B564A"/>
    <w:rsid w:val="61AC4D57"/>
    <w:rsid w:val="629C7D87"/>
    <w:rsid w:val="62EB6FA9"/>
    <w:rsid w:val="63470076"/>
    <w:rsid w:val="6381334D"/>
    <w:rsid w:val="6E566C80"/>
    <w:rsid w:val="6F066E31"/>
    <w:rsid w:val="700A6127"/>
    <w:rsid w:val="7189237A"/>
    <w:rsid w:val="71B205C1"/>
    <w:rsid w:val="71C93182"/>
    <w:rsid w:val="72202AE2"/>
    <w:rsid w:val="73192E1A"/>
    <w:rsid w:val="73E877E6"/>
    <w:rsid w:val="77855D8E"/>
    <w:rsid w:val="77A607E9"/>
    <w:rsid w:val="77D00AB9"/>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99"/>
    <w:pPr>
      <w:keepNext/>
      <w:outlineLvl w:val="0"/>
    </w:pPr>
    <w:rPr>
      <w:rFonts w:ascii="宋体"/>
      <w:sz w:val="28"/>
    </w:rPr>
  </w:style>
  <w:style w:type="paragraph" w:styleId="4">
    <w:name w:val="heading 2"/>
    <w:basedOn w:val="1"/>
    <w:next w:val="1"/>
    <w:link w:val="28"/>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6">
    <w:name w:val="annotation subject"/>
    <w:basedOn w:val="7"/>
    <w:next w:val="7"/>
    <w:link w:val="35"/>
    <w:semiHidden/>
    <w:qFormat/>
    <w:uiPriority w:val="0"/>
    <w:rPr>
      <w:b/>
      <w:bCs/>
    </w:rPr>
  </w:style>
  <w:style w:type="paragraph" w:styleId="7">
    <w:name w:val="annotation text"/>
    <w:basedOn w:val="1"/>
    <w:link w:val="34"/>
    <w:semiHidden/>
    <w:qFormat/>
    <w:uiPriority w:val="0"/>
    <w:pPr>
      <w:jc w:val="left"/>
    </w:pPr>
  </w:style>
  <w:style w:type="paragraph" w:styleId="8">
    <w:name w:val="Body Text"/>
    <w:basedOn w:val="1"/>
    <w:link w:val="42"/>
    <w:qFormat/>
    <w:uiPriority w:val="0"/>
    <w:pPr>
      <w:spacing w:after="120"/>
    </w:pPr>
  </w:style>
  <w:style w:type="paragraph" w:styleId="9">
    <w:name w:val="toc 3"/>
    <w:basedOn w:val="1"/>
    <w:next w:val="1"/>
    <w:qFormat/>
    <w:uiPriority w:val="39"/>
    <w:pPr>
      <w:ind w:left="840" w:leftChars="400"/>
    </w:pPr>
  </w:style>
  <w:style w:type="paragraph" w:styleId="10">
    <w:name w:val="Plain Text"/>
    <w:basedOn w:val="1"/>
    <w:link w:val="32"/>
    <w:qFormat/>
    <w:uiPriority w:val="0"/>
    <w:pPr>
      <w:spacing w:line="360" w:lineRule="auto"/>
    </w:pPr>
    <w:rPr>
      <w:rFonts w:ascii="楷体_GB2312" w:hAnsi="Courier New" w:eastAsia="楷体_GB2312"/>
      <w:sz w:val="24"/>
    </w:rPr>
  </w:style>
  <w:style w:type="paragraph" w:styleId="11">
    <w:name w:val="Date"/>
    <w:basedOn w:val="1"/>
    <w:next w:val="1"/>
    <w:link w:val="38"/>
    <w:qFormat/>
    <w:uiPriority w:val="0"/>
    <w:rPr>
      <w:sz w:val="28"/>
    </w:rPr>
  </w:style>
  <w:style w:type="paragraph" w:styleId="12">
    <w:name w:val="Body Text Indent 2"/>
    <w:basedOn w:val="1"/>
    <w:link w:val="30"/>
    <w:qFormat/>
    <w:uiPriority w:val="99"/>
    <w:pPr>
      <w:spacing w:line="312" w:lineRule="auto"/>
      <w:ind w:firstLine="480" w:firstLineChars="200"/>
    </w:pPr>
    <w:rPr>
      <w:sz w:val="24"/>
    </w:rPr>
  </w:style>
  <w:style w:type="paragraph" w:styleId="13">
    <w:name w:val="Balloon Text"/>
    <w:basedOn w:val="1"/>
    <w:link w:val="36"/>
    <w:semiHidden/>
    <w:qFormat/>
    <w:uiPriority w:val="99"/>
    <w:rPr>
      <w:sz w:val="18"/>
      <w:szCs w:val="18"/>
    </w:rPr>
  </w:style>
  <w:style w:type="paragraph" w:styleId="14">
    <w:name w:val="footer"/>
    <w:basedOn w:val="1"/>
    <w:link w:val="26"/>
    <w:unhideWhenUsed/>
    <w:qFormat/>
    <w:uiPriority w:val="0"/>
    <w:pPr>
      <w:tabs>
        <w:tab w:val="center" w:pos="4153"/>
        <w:tab w:val="right" w:pos="8306"/>
      </w:tabs>
      <w:snapToGrid w:val="0"/>
      <w:jc w:val="left"/>
    </w:pPr>
    <w:rPr>
      <w:sz w:val="18"/>
      <w:szCs w:val="18"/>
    </w:rPr>
  </w:style>
  <w:style w:type="paragraph" w:styleId="15">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913"/>
      </w:tabs>
      <w:ind w:firstLine="422" w:firstLineChars="200"/>
    </w:pPr>
    <w:rPr>
      <w:b/>
    </w:rPr>
  </w:style>
  <w:style w:type="paragraph" w:styleId="17">
    <w:name w:val="toc 2"/>
    <w:basedOn w:val="1"/>
    <w:next w:val="1"/>
    <w:qFormat/>
    <w:uiPriority w:val="39"/>
    <w:pPr>
      <w:tabs>
        <w:tab w:val="left" w:pos="941"/>
        <w:tab w:val="right" w:leader="dot" w:pos="9923"/>
      </w:tabs>
      <w:ind w:left="420" w:leftChars="200" w:right="283" w:rightChars="135"/>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页眉 Char"/>
    <w:basedOn w:val="19"/>
    <w:link w:val="15"/>
    <w:semiHidden/>
    <w:qFormat/>
    <w:uiPriority w:val="99"/>
    <w:rPr>
      <w:sz w:val="18"/>
      <w:szCs w:val="18"/>
    </w:rPr>
  </w:style>
  <w:style w:type="character" w:customStyle="1" w:styleId="26">
    <w:name w:val="页脚 Char"/>
    <w:basedOn w:val="19"/>
    <w:link w:val="14"/>
    <w:qFormat/>
    <w:uiPriority w:val="0"/>
    <w:rPr>
      <w:sz w:val="18"/>
      <w:szCs w:val="18"/>
    </w:rPr>
  </w:style>
  <w:style w:type="character" w:customStyle="1" w:styleId="27">
    <w:name w:val="标题 1 Char"/>
    <w:basedOn w:val="19"/>
    <w:link w:val="3"/>
    <w:qFormat/>
    <w:uiPriority w:val="99"/>
    <w:rPr>
      <w:rFonts w:ascii="宋体" w:hAnsi="Times New Roman" w:eastAsia="宋体" w:cs="Times New Roman"/>
      <w:sz w:val="28"/>
      <w:szCs w:val="20"/>
    </w:rPr>
  </w:style>
  <w:style w:type="character" w:customStyle="1" w:styleId="28">
    <w:name w:val="标题 2 Char"/>
    <w:basedOn w:val="19"/>
    <w:link w:val="4"/>
    <w:qFormat/>
    <w:uiPriority w:val="99"/>
    <w:rPr>
      <w:rFonts w:ascii="Arial" w:hAnsi="Arial" w:eastAsia="黑体" w:cs="Times New Roman"/>
      <w:b/>
      <w:bCs/>
      <w:sz w:val="32"/>
      <w:szCs w:val="32"/>
    </w:rPr>
  </w:style>
  <w:style w:type="character" w:customStyle="1" w:styleId="29">
    <w:name w:val="标题 3 Char"/>
    <w:basedOn w:val="19"/>
    <w:link w:val="5"/>
    <w:qFormat/>
    <w:uiPriority w:val="0"/>
    <w:rPr>
      <w:rFonts w:ascii="Times New Roman" w:hAnsi="Times New Roman" w:eastAsia="宋体" w:cs="Times New Roman"/>
      <w:b/>
      <w:bCs/>
      <w:sz w:val="32"/>
      <w:szCs w:val="32"/>
    </w:rPr>
  </w:style>
  <w:style w:type="character" w:customStyle="1" w:styleId="30">
    <w:name w:val="正文文本缩进 2 Char"/>
    <w:basedOn w:val="19"/>
    <w:link w:val="12"/>
    <w:qFormat/>
    <w:uiPriority w:val="99"/>
    <w:rPr>
      <w:rFonts w:ascii="Times New Roman" w:hAnsi="Times New Roman" w:eastAsia="宋体" w:cs="Times New Roman"/>
      <w:sz w:val="24"/>
      <w:szCs w:val="20"/>
    </w:rPr>
  </w:style>
  <w:style w:type="paragraph" w:customStyle="1" w:styleId="31">
    <w:name w:val="Char2"/>
    <w:basedOn w:val="1"/>
    <w:qFormat/>
    <w:uiPriority w:val="0"/>
    <w:pPr>
      <w:ind w:left="432" w:hanging="432"/>
    </w:pPr>
    <w:rPr>
      <w:sz w:val="24"/>
      <w:szCs w:val="24"/>
    </w:rPr>
  </w:style>
  <w:style w:type="character" w:customStyle="1" w:styleId="32">
    <w:name w:val="纯文本 Char"/>
    <w:basedOn w:val="19"/>
    <w:link w:val="10"/>
    <w:qFormat/>
    <w:uiPriority w:val="0"/>
    <w:rPr>
      <w:rFonts w:ascii="楷体_GB2312" w:hAnsi="Courier New" w:eastAsia="楷体_GB2312" w:cs="Times New Roman"/>
      <w:sz w:val="24"/>
      <w:szCs w:val="20"/>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4">
    <w:name w:val="批注文字 Char"/>
    <w:basedOn w:val="19"/>
    <w:link w:val="7"/>
    <w:semiHidden/>
    <w:qFormat/>
    <w:uiPriority w:val="0"/>
    <w:rPr>
      <w:rFonts w:ascii="Times New Roman" w:hAnsi="Times New Roman" w:eastAsia="宋体" w:cs="Times New Roman"/>
      <w:szCs w:val="20"/>
    </w:rPr>
  </w:style>
  <w:style w:type="character" w:customStyle="1" w:styleId="35">
    <w:name w:val="批注主题 Char"/>
    <w:basedOn w:val="34"/>
    <w:link w:val="6"/>
    <w:semiHidden/>
    <w:qFormat/>
    <w:uiPriority w:val="0"/>
    <w:rPr>
      <w:b/>
      <w:bCs/>
    </w:rPr>
  </w:style>
  <w:style w:type="character" w:customStyle="1" w:styleId="36">
    <w:name w:val="批注框文本 Char"/>
    <w:basedOn w:val="19"/>
    <w:link w:val="13"/>
    <w:semiHidden/>
    <w:qFormat/>
    <w:uiPriority w:val="99"/>
    <w:rPr>
      <w:rFonts w:ascii="Times New Roman" w:hAnsi="Times New Roman" w:eastAsia="宋体" w:cs="Times New Roman"/>
      <w:sz w:val="18"/>
      <w:szCs w:val="18"/>
    </w:rPr>
  </w:style>
  <w:style w:type="paragraph" w:styleId="37">
    <w:name w:val="List Paragraph"/>
    <w:basedOn w:val="1"/>
    <w:qFormat/>
    <w:uiPriority w:val="34"/>
    <w:pPr>
      <w:ind w:firstLine="420" w:firstLineChars="200"/>
    </w:pPr>
    <w:rPr>
      <w:szCs w:val="24"/>
    </w:rPr>
  </w:style>
  <w:style w:type="character" w:customStyle="1" w:styleId="38">
    <w:name w:val="日期 Char"/>
    <w:basedOn w:val="19"/>
    <w:link w:val="11"/>
    <w:qFormat/>
    <w:uiPriority w:val="0"/>
    <w:rPr>
      <w:rFonts w:ascii="Times New Roman" w:hAnsi="Times New Roman" w:eastAsia="宋体" w:cs="Times New Roman"/>
      <w:sz w:val="28"/>
      <w:szCs w:val="20"/>
    </w:rPr>
  </w:style>
  <w:style w:type="paragraph" w:customStyle="1" w:styleId="39">
    <w:name w:val="Char"/>
    <w:basedOn w:val="1"/>
    <w:qFormat/>
    <w:uiPriority w:val="0"/>
    <w:rPr>
      <w:rFonts w:ascii="FangSong_GB2312" w:eastAsia="FangSong_GB2312"/>
      <w:b/>
      <w:sz w:val="32"/>
      <w:szCs w:val="32"/>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1">
    <w:name w:val="apple-converted-space"/>
    <w:basedOn w:val="19"/>
    <w:qFormat/>
    <w:uiPriority w:val="0"/>
  </w:style>
  <w:style w:type="character" w:customStyle="1" w:styleId="42">
    <w:name w:val="正文文本 Char"/>
    <w:basedOn w:val="19"/>
    <w:link w:val="8"/>
    <w:qFormat/>
    <w:uiPriority w:val="0"/>
    <w:rPr>
      <w:rFonts w:ascii="Times New Roman" w:hAnsi="Times New Roman" w:eastAsia="宋体" w:cs="Times New Roman"/>
      <w:szCs w:val="20"/>
    </w:rPr>
  </w:style>
  <w:style w:type="paragraph" w:customStyle="1" w:styleId="43">
    <w:name w:val="列出段落1"/>
    <w:basedOn w:val="1"/>
    <w:qFormat/>
    <w:uiPriority w:val="0"/>
    <w:pPr>
      <w:widowControl/>
      <w:ind w:left="720"/>
      <w:contextualSpacing/>
      <w:jc w:val="left"/>
    </w:pPr>
    <w:rPr>
      <w:rFonts w:ascii="Calibri" w:hAnsi="Calibri"/>
      <w:kern w:val="0"/>
      <w:sz w:val="24"/>
      <w:szCs w:val="24"/>
    </w:rPr>
  </w:style>
  <w:style w:type="paragraph" w:customStyle="1" w:styleId="44">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customShpInfo spid="_x0000_s4102"/>
    <customShpInfo spid="_x0000_s4103"/>
    <customShpInfo spid="_x0000_s4104"/>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2387</Words>
  <Characters>13607</Characters>
  <Lines>113</Lines>
  <Paragraphs>31</Paragraphs>
  <TotalTime>108</TotalTime>
  <ScaleCrop>false</ScaleCrop>
  <LinksUpToDate>false</LinksUpToDate>
  <CharactersWithSpaces>15963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2021-02-07T06:37:00Z</dcterms:created>
  <dc:creator>NTKO</dc:creator>
  <cp:lastModifiedBy>Administrator</cp:lastModifiedBy>
  <dcterms:modified xsi:type="dcterms:W3CDTF">2021-02-19T02:52:21Z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