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jc w:val="center"/>
        <w:rPr>
          <w:rFonts w:eastAsia="黑体"/>
          <w:b/>
          <w:bCs/>
          <w:sz w:val="32"/>
        </w:rPr>
      </w:pPr>
      <w:r>
        <w:rPr>
          <w:rFonts w:hint="eastAsia" w:eastAsia="黑体"/>
          <w:b/>
          <w:bCs/>
          <w:sz w:val="32"/>
        </w:rPr>
        <w:t>项目名称：康复医学科吞咽神经和肌肉电刺激仪采购项目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eastAsia" w:ascii="黑体" w:hAnsi="黑体" w:eastAsia="黑体" w:cs="黑体"/>
          <w:b/>
          <w:bCs/>
          <w:color w:val="000000" w:themeColor="text1"/>
          <w:sz w:val="32"/>
          <w:lang w:val="en-US" w:eastAsia="zh-CN"/>
        </w:rPr>
      </w:pPr>
      <w:r>
        <w:rPr>
          <w:rFonts w:hint="eastAsia" w:eastAsia="黑体"/>
          <w:b/>
          <w:bCs/>
          <w:sz w:val="32"/>
        </w:rPr>
        <w:t>项目编号：</w:t>
      </w:r>
      <w:r>
        <w:rPr>
          <w:rFonts w:hint="eastAsia" w:ascii="黑体" w:hAnsi="黑体" w:eastAsia="黑体" w:cs="黑体"/>
          <w:b/>
          <w:bCs/>
          <w:color w:val="000000" w:themeColor="text1"/>
          <w:sz w:val="32"/>
        </w:rPr>
        <w:t>YN2021-0</w:t>
      </w:r>
      <w:r>
        <w:rPr>
          <w:rFonts w:hint="eastAsia" w:ascii="黑体" w:hAnsi="黑体" w:eastAsia="黑体" w:cs="黑体"/>
          <w:b/>
          <w:bCs/>
          <w:color w:val="000000" w:themeColor="text1"/>
          <w:sz w:val="32"/>
          <w:lang w:val="en-US" w:eastAsia="zh-CN"/>
        </w:rPr>
        <w:t>10</w:t>
      </w:r>
    </w:p>
    <w:p>
      <w:pPr>
        <w:spacing w:line="480" w:lineRule="auto"/>
        <w:ind w:firstLine="1263" w:firstLineChars="393"/>
        <w:rPr>
          <w:rFonts w:eastAsia="黑体"/>
          <w:b/>
          <w:bCs/>
          <w:sz w:val="32"/>
        </w:rPr>
      </w:pP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w:t>
      </w:r>
      <w:r>
        <w:rPr>
          <w:rFonts w:hint="eastAsia" w:eastAsia="黑体"/>
          <w:b/>
          <w:bCs/>
          <w:sz w:val="32"/>
          <w:lang w:eastAsia="zh-CN"/>
        </w:rPr>
        <w:t>三</w:t>
      </w:r>
      <w:r>
        <w:rPr>
          <w:rFonts w:hint="eastAsia" w:eastAsia="黑体"/>
          <w:b/>
          <w:bCs/>
          <w:sz w:val="32"/>
        </w:rPr>
        <w:t>月</w:t>
      </w:r>
      <w:r>
        <w:rPr>
          <w:rFonts w:hint="eastAsia" w:eastAsia="黑体"/>
          <w:b/>
          <w:bCs/>
          <w:sz w:val="32"/>
          <w:lang w:eastAsia="zh-CN"/>
        </w:rPr>
        <w:t>五</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5"/>
        <w:ind w:firstLine="420"/>
        <w:rPr>
          <w:rFonts w:asciiTheme="minorHAnsi" w:hAnsiTheme="minorHAnsi" w:eastAsiaTheme="minorEastAsia" w:cstheme="minorBidi"/>
          <w:b w:val="0"/>
          <w:szCs w:val="22"/>
        </w:rPr>
      </w:pPr>
      <w:r>
        <w:rPr>
          <w:rStyle w:val="20"/>
          <w:rFonts w:asciiTheme="minorEastAsia" w:hAnsiTheme="minorEastAsia" w:eastAsiaTheme="minorEastAsia"/>
          <w:b w:val="0"/>
          <w:color w:val="auto"/>
          <w:shd w:val="pct10" w:color="auto" w:fill="FFFFFF"/>
        </w:rPr>
        <w:fldChar w:fldCharType="begin"/>
      </w:r>
      <w:r>
        <w:rPr>
          <w:rStyle w:val="20"/>
          <w:rFonts w:hint="eastAsia" w:asciiTheme="minorEastAsia" w:hAnsiTheme="minorEastAsia" w:eastAsiaTheme="minorEastAsia"/>
          <w:b w:val="0"/>
          <w:color w:val="auto"/>
          <w:shd w:val="pct10" w:color="auto" w:fill="FFFFFF"/>
        </w:rPr>
        <w:instrText xml:space="preserve">TOC \o "1-3" \h \z \u</w:instrText>
      </w:r>
      <w:r>
        <w:rPr>
          <w:rStyle w:val="20"/>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0"/>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5"/>
        <w:ind w:firstLine="420"/>
        <w:rPr>
          <w:rFonts w:asciiTheme="minorHAnsi" w:hAnsiTheme="minorHAnsi" w:eastAsiaTheme="minorEastAsia" w:cstheme="minorBidi"/>
          <w:b w:val="0"/>
          <w:szCs w:val="22"/>
        </w:rPr>
      </w:pPr>
    </w:p>
    <w:p>
      <w:pPr>
        <w:pStyle w:val="15"/>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0"/>
          <w:rFonts w:hint="eastAsia"/>
          <w:color w:val="auto"/>
        </w:rPr>
        <w:t>第二章谈判文件</w:t>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rPr>
          <w:rStyle w:val="20"/>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0"/>
          <w:rFonts w:hint="eastAsia"/>
          <w:color w:val="auto"/>
        </w:rPr>
        <w:t>二、响应文件的编制</w:t>
      </w:r>
      <w:r>
        <w:tab/>
      </w:r>
      <w:r>
        <w:rPr>
          <w:rFonts w:hint="eastAsia"/>
        </w:rPr>
        <w:t>4</w:t>
      </w:r>
      <w:r>
        <w:rPr>
          <w:rFonts w:hint="eastAsia"/>
        </w:rPr>
        <w:fldChar w:fldCharType="end"/>
      </w:r>
    </w:p>
    <w:p>
      <w:pPr>
        <w:pStyle w:val="15"/>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0"/>
          <w:rFonts w:hint="eastAsia"/>
          <w:color w:val="auto"/>
        </w:rPr>
        <w:t>、谈判</w:t>
      </w:r>
      <w:r>
        <w:tab/>
      </w:r>
      <w:r>
        <w:rPr>
          <w:rFonts w:hint="eastAsia"/>
        </w:rPr>
        <w:t>7</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0"/>
          <w:rFonts w:hint="eastAsia"/>
          <w:color w:val="auto"/>
        </w:rPr>
        <w:t>第三章　合同草案</w:t>
      </w:r>
      <w:r>
        <w:tab/>
      </w:r>
      <w:r>
        <w:fldChar w:fldCharType="begin"/>
      </w:r>
      <w:r>
        <w:instrText xml:space="preserve"> PAGEREF _Toc533775677 \h </w:instrText>
      </w:r>
      <w:r>
        <w:fldChar w:fldCharType="separate"/>
      </w:r>
      <w:r>
        <w:rPr>
          <w:rFonts w:hint="eastAsia"/>
          <w:b w:val="0"/>
          <w:bCs/>
        </w:rPr>
        <w:t>错误!未定义书签。</w:t>
      </w:r>
      <w:r>
        <w:fldChar w:fldCharType="end"/>
      </w:r>
      <w:r>
        <w:fldChar w:fldCharType="end"/>
      </w:r>
    </w:p>
    <w:p>
      <w:pPr>
        <w:pStyle w:val="15"/>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0"/>
          <w:rFonts w:hint="eastAsia"/>
          <w:color w:val="auto"/>
        </w:rPr>
        <w:t>附件响应文件格式</w:t>
      </w:r>
      <w:r>
        <w:tab/>
      </w:r>
      <w:r>
        <w:rPr>
          <w:rFonts w:hint="eastAsia"/>
        </w:rPr>
        <w:t>1</w:t>
      </w:r>
      <w:r>
        <w:fldChar w:fldCharType="begin"/>
      </w:r>
      <w:r>
        <w:instrText xml:space="preserve"> PAGEREF _Toc533775678 \h </w:instrText>
      </w:r>
      <w:r>
        <w:fldChar w:fldCharType="separate"/>
      </w:r>
      <w:r>
        <w:t>12</w:t>
      </w:r>
      <w:r>
        <w:fldChar w:fldCharType="end"/>
      </w:r>
      <w:r>
        <w:fldChar w:fldCharType="end"/>
      </w:r>
    </w:p>
    <w:p>
      <w:pPr>
        <w:pStyle w:val="15"/>
        <w:ind w:firstLine="420"/>
        <w:rPr>
          <w:rFonts w:asciiTheme="minorHAnsi" w:hAnsiTheme="minorHAnsi" w:eastAsiaTheme="minorEastAsia" w:cstheme="minorBidi"/>
          <w:b w:val="0"/>
          <w:szCs w:val="22"/>
        </w:rPr>
      </w:pPr>
    </w:p>
    <w:p>
      <w:pPr>
        <w:pStyle w:val="15"/>
        <w:ind w:firstLine="420"/>
        <w:rPr>
          <w:rStyle w:val="20"/>
          <w:rFonts w:asciiTheme="minorEastAsia" w:hAnsiTheme="minorEastAsia" w:eastAsiaTheme="minorEastAsia"/>
          <w:b w:val="0"/>
          <w:color w:val="auto"/>
        </w:rPr>
      </w:pPr>
      <w:r>
        <w:rPr>
          <w:rStyle w:val="20"/>
          <w:rFonts w:asciiTheme="minorEastAsia" w:hAnsiTheme="minorEastAsia" w:eastAsiaTheme="minorEastAsia"/>
          <w:b w:val="0"/>
          <w:color w:val="auto"/>
          <w:shd w:val="pct10" w:color="auto" w:fill="FFFFFF"/>
        </w:rPr>
        <w:fldChar w:fldCharType="end"/>
      </w:r>
    </w:p>
    <w:p>
      <w:pPr>
        <w:pStyle w:val="15"/>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134" w:right="1134" w:bottom="1134" w:left="1134" w:header="720" w:footer="720" w:gutter="0"/>
          <w:pgNumType w:start="1"/>
          <w:cols w:space="0" w:num="1"/>
          <w:titlePg/>
          <w:rtlGutter w:val="0"/>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1"/>
        <w:spacing w:line="460" w:lineRule="exact"/>
        <w:ind w:firstLine="600"/>
        <w:rPr>
          <w:rFonts w:ascii="宋体" w:hAnsi="宋体" w:cs="宋体"/>
          <w:sz w:val="30"/>
          <w:szCs w:val="30"/>
        </w:rPr>
      </w:pPr>
      <w:r>
        <w:rPr>
          <w:rFonts w:hint="eastAsia" w:ascii="宋体" w:hAnsi="宋体" w:cs="宋体"/>
          <w:sz w:val="30"/>
          <w:szCs w:val="30"/>
        </w:rPr>
        <w:t>赣州市人民医院近期将对康复医学科吞咽神经和肌肉电刺激仪</w:t>
      </w:r>
      <w:r>
        <w:rPr>
          <w:rFonts w:hint="eastAsia" w:ascii="宋体" w:hAnsi="宋体" w:cs="宋体"/>
          <w:sz w:val="30"/>
          <w:szCs w:val="30"/>
          <w:lang w:eastAsia="zh-CN"/>
        </w:rPr>
        <w:t>采购</w:t>
      </w:r>
      <w:r>
        <w:rPr>
          <w:rFonts w:hint="eastAsia" w:ascii="宋体" w:hAnsi="宋体" w:cs="宋体"/>
          <w:sz w:val="30"/>
          <w:szCs w:val="30"/>
        </w:rPr>
        <w:t>项目进行竞争性谈判采购。欢迎符合资格条件的供应商前来参加。</w:t>
      </w:r>
    </w:p>
    <w:p>
      <w:pPr>
        <w:pStyle w:val="11"/>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w:t>
      </w:r>
      <w:r>
        <w:rPr>
          <w:rFonts w:hint="eastAsia" w:ascii="宋体" w:hAnsi="宋体" w:cs="宋体"/>
          <w:sz w:val="30"/>
          <w:szCs w:val="30"/>
          <w:lang w:val="en-US" w:eastAsia="zh-CN"/>
        </w:rPr>
        <w:t>10</w:t>
      </w:r>
    </w:p>
    <w:p>
      <w:pPr>
        <w:pStyle w:val="11"/>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1"/>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2"/>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rPr>
              <w:t>吞咽神经和肌肉电刺激仪项目</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3</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台</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9.9万元</w:t>
            </w:r>
          </w:p>
        </w:tc>
      </w:tr>
    </w:tbl>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5</w:t>
      </w:r>
      <w:r>
        <w:rPr>
          <w:rFonts w:hint="eastAsia"/>
          <w:kern w:val="2"/>
          <w:sz w:val="30"/>
          <w:szCs w:val="30"/>
        </w:rPr>
        <w:t>日）起</w:t>
      </w:r>
      <w:r>
        <w:rPr>
          <w:rFonts w:hint="eastAsia"/>
          <w:kern w:val="2"/>
          <w:sz w:val="30"/>
          <w:szCs w:val="30"/>
          <w:lang w:eastAsia="zh-CN"/>
        </w:rPr>
        <w:t>四</w:t>
      </w:r>
      <w:r>
        <w:rPr>
          <w:rFonts w:hint="eastAsia"/>
          <w:kern w:val="2"/>
          <w:sz w:val="30"/>
          <w:szCs w:val="30"/>
        </w:rPr>
        <w:t>个工作日。</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8</w:t>
      </w:r>
      <w:r>
        <w:rPr>
          <w:rFonts w:hint="eastAsia"/>
          <w:kern w:val="2"/>
          <w:sz w:val="30"/>
          <w:szCs w:val="30"/>
        </w:rPr>
        <w:t>日至2021年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11</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15</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spacing w:line="500" w:lineRule="exact"/>
        <w:rPr>
          <w:sz w:val="30"/>
          <w:szCs w:val="30"/>
        </w:rPr>
      </w:pPr>
      <w:r>
        <w:rPr>
          <w:rFonts w:hint="eastAsia"/>
          <w:b/>
          <w:bCs/>
          <w:sz w:val="30"/>
          <w:szCs w:val="30"/>
        </w:rPr>
        <w:t>（九）响应保证金及履约保证金：</w:t>
      </w:r>
      <w:r>
        <w:rPr>
          <w:rFonts w:hint="eastAsia"/>
          <w:sz w:val="30"/>
          <w:szCs w:val="30"/>
        </w:rPr>
        <w:t>响应供应商的响应保证金足额一次性缴纳人民币壹仟玖佰捌拾元整，须在开标当天上午8：00前到账，投标人</w:t>
      </w:r>
      <w:r>
        <w:rPr>
          <w:rFonts w:hint="eastAsia"/>
          <w:sz w:val="30"/>
          <w:szCs w:val="30"/>
          <w:highlight w:val="yellow"/>
        </w:rPr>
        <w:t>须</w:t>
      </w:r>
      <w:r>
        <w:rPr>
          <w:rFonts w:hint="eastAsia"/>
          <w:sz w:val="30"/>
          <w:szCs w:val="30"/>
        </w:rPr>
        <w:t>按照竞争性谈判文件要求提交投标保证金。从响应供应商（不得以分支机构等其他名义转入）的基本账户转入医院的指定帐户（单位名称:赣州市人民医院；账号:1510220109026473030；开户银行:工商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w:t>
      </w:r>
      <w:r>
        <w:rPr>
          <w:rFonts w:hint="eastAsia"/>
          <w:sz w:val="30"/>
          <w:szCs w:val="30"/>
          <w:highlight w:val="yellow"/>
        </w:rPr>
        <w:t>履约保证金在货物交付、验收合格后自动转为质保金。一年后退还质保金的80%，质保期过后退还剩下的20%，不计利息，如有违约，按照合同约定处理。</w:t>
      </w:r>
    </w:p>
    <w:p>
      <w:pPr>
        <w:widowControl/>
        <w:spacing w:line="500" w:lineRule="exact"/>
        <w:rPr>
          <w:rFonts w:ascii="仿宋_GB2312" w:hAnsi="仿宋_GB2312" w:eastAsia="仿宋_GB2312" w:cs="仿宋_GB2312"/>
          <w:sz w:val="28"/>
          <w:szCs w:val="28"/>
        </w:rPr>
      </w:pPr>
      <w:r>
        <w:rPr>
          <w:rFonts w:hint="eastAsia"/>
          <w:b/>
          <w:bCs/>
          <w:sz w:val="30"/>
          <w:szCs w:val="30"/>
        </w:rPr>
        <w:t>（十）付款方法：</w:t>
      </w:r>
      <w:r>
        <w:rPr>
          <w:rFonts w:hint="eastAsia"/>
          <w:sz w:val="30"/>
          <w:szCs w:val="30"/>
          <w:highlight w:val="yellow"/>
        </w:rPr>
        <w:t>合同签订、货物送达、安装调试、培训完成且验收合格2个月后凭符合国家法律规定的税票支付合同总额的100%。</w:t>
      </w:r>
      <w:r>
        <w:rPr>
          <w:rFonts w:hint="eastAsia" w:ascii="仿宋_GB2312" w:hAnsi="仿宋_GB2312" w:eastAsia="仿宋_GB2312" w:cs="仿宋_GB2312"/>
          <w:sz w:val="28"/>
          <w:szCs w:val="28"/>
        </w:rPr>
        <w:t xml:space="preserve"> </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5、交货期：供应商应在《中标通知书》规定的时间内和采购人签订正式合同，并在合同签订之日起</w:t>
      </w:r>
      <w:r>
        <w:rPr>
          <w:rFonts w:hint="eastAsia"/>
          <w:b/>
          <w:kern w:val="2"/>
          <w:sz w:val="30"/>
          <w:szCs w:val="30"/>
        </w:rPr>
        <w:t>30</w:t>
      </w:r>
      <w:r>
        <w:rPr>
          <w:rFonts w:hint="eastAsia"/>
          <w:kern w:val="2"/>
          <w:sz w:val="30"/>
          <w:szCs w:val="30"/>
        </w:rPr>
        <w:t xml:space="preserve">天内完成所有产品的供货，包含安装调试，并交付使用。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7"/>
        <w:numPr>
          <w:ilvl w:val="0"/>
          <w:numId w:val="1"/>
        </w:numPr>
        <w:spacing w:before="0" w:beforeAutospacing="0" w:after="0" w:afterAutospacing="0" w:line="460" w:lineRule="exact"/>
        <w:jc w:val="both"/>
        <w:rPr>
          <w:b/>
          <w:bCs/>
          <w:color w:val="auto"/>
          <w:kern w:val="2"/>
          <w:sz w:val="30"/>
          <w:szCs w:val="30"/>
        </w:rPr>
      </w:pPr>
      <w:r>
        <w:rPr>
          <w:rFonts w:hint="eastAsia"/>
          <w:b/>
          <w:bCs/>
          <w:color w:val="auto"/>
          <w:kern w:val="2"/>
          <w:sz w:val="30"/>
          <w:szCs w:val="30"/>
        </w:rPr>
        <w:t>产品参数要求:</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7.1、适用范围：主要用于对咽部非机械原因损伤引起的吞咽及构音障碍进行评估、治疗及训练。</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7.2、主要构成：由主机、操作控制器及电极线组成。双通道，可同时对两个部位进行评估、治疗或训练。</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7.3、结构形式：便携式。</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7.4、显示方式：液晶屏幕显示界面。</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7.5、治疗功能及输出路（线）数：</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7.5.1、同时具备评估、治疗及训练等功能。治疗模式包含成人、儿童模式。</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7.6、开路电压峰值：≤150V。</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7.7、定时范围：1-99min。</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7.8、输入功率：≤180VA。</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7.9、多种输出模式：成人连续脉冲治疗模式、儿童交替脉冲治疗模式、单脉冲训练模式（训练模式有手控触发与自动触发）、评估模式等。</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7.10、连续脉冲治疗模式（成人）：</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7.10.1、脉冲强度：0-30mA可调，多档可调</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7.10.2、脉冲宽度：100-300uS可调，步距增量20uS，11档可调</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7.10.3、脉冲间隔：100uS</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7.10.4、脉冲频率：20Hz-100Hz可调</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7.11、交替脉冲治疗模式（儿童）：</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7.11.1脉冲强度：0-30mA可调，多档可调</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7.11.2、脉冲宽度：100-300uS可调，步距增量20uS，11档可调</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7.11.3、脉冲间隔：100uS</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7.11.4、脉冲频率：20Hz-100Hz可调，持续时间：≥1s</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7.12、单脉冲训练模式（手控触发与自动触发）：</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7.12.1、脉冲强度：0-30mA可调，多档可调</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7.12.2、脉冲宽度：10ms-1000ms可调，步距增量10ms、50ms</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7.12.3、脉冲间隔：1s-5s可调，步距增量1s</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7.13、评估模式</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7.13.1、评估模式脉冲宽度：1000ms</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7.13.2、评估模式脉冲间隔：1000ms</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7.13.3、评估模式阈值I：0-30mA可调</w:t>
      </w:r>
    </w:p>
    <w:p>
      <w:pPr>
        <w:pStyle w:val="17"/>
        <w:spacing w:before="0" w:beforeAutospacing="0" w:after="0" w:afterAutospacing="0" w:line="460" w:lineRule="exact"/>
        <w:ind w:firstLine="900" w:firstLineChars="300"/>
        <w:jc w:val="both"/>
        <w:rPr>
          <w:color w:val="auto"/>
          <w:kern w:val="2"/>
          <w:sz w:val="30"/>
          <w:szCs w:val="30"/>
        </w:rPr>
      </w:pPr>
      <w:r>
        <w:rPr>
          <w:rFonts w:hint="eastAsia"/>
          <w:color w:val="auto"/>
          <w:kern w:val="2"/>
          <w:sz w:val="30"/>
          <w:szCs w:val="30"/>
        </w:rPr>
        <w:t>7.13.4、评估模式阈值Ⅱ：0-30mA可调</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8、售后要求：</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8.1质保期自验收合格之日起不得少于</w:t>
      </w:r>
      <w:r>
        <w:rPr>
          <w:rFonts w:hint="eastAsia"/>
          <w:b/>
          <w:bCs/>
          <w:color w:val="auto"/>
          <w:kern w:val="2"/>
          <w:sz w:val="30"/>
          <w:szCs w:val="30"/>
        </w:rPr>
        <w:t>36</w:t>
      </w:r>
      <w:r>
        <w:rPr>
          <w:rFonts w:hint="eastAsia"/>
          <w:color w:val="auto"/>
          <w:kern w:val="2"/>
          <w:sz w:val="30"/>
          <w:szCs w:val="30"/>
        </w:rPr>
        <w:t>个月。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w:t>
      </w:r>
      <w:r>
        <w:rPr>
          <w:rFonts w:hint="eastAsia"/>
          <w:kern w:val="2"/>
          <w:sz w:val="30"/>
          <w:szCs w:val="30"/>
          <w:highlight w:val="yellow"/>
        </w:rPr>
        <w:t>供应商除应按照国家有关法律法规规章和“三包”规定提供服务外，还应提供下列服务：（1）货物的现场安装、调试和启动监督；（2）就货物的安装、启动、运行及维护等对采购人人员进行培训。</w:t>
      </w:r>
    </w:p>
    <w:p>
      <w:pPr>
        <w:widowControl/>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highlight w:val="yellow"/>
        </w:rPr>
        <w:t>8.3供应商安排有资质的工程师为采购人提供培训服务（工程师资</w:t>
      </w:r>
      <w:r>
        <w:rPr>
          <w:rFonts w:hint="eastAsia" w:ascii="宋体" w:hAnsi="宋体" w:cs="宋体"/>
          <w:color w:val="000000"/>
          <w:sz w:val="30"/>
          <w:szCs w:val="30"/>
          <w:highlight w:val="yellow"/>
          <w:lang w:eastAsia="zh-CN"/>
        </w:rPr>
        <w:t>质</w:t>
      </w:r>
      <w:r>
        <w:rPr>
          <w:rFonts w:hint="eastAsia" w:ascii="宋体" w:hAnsi="宋体" w:cs="宋体"/>
          <w:color w:val="000000"/>
          <w:sz w:val="30"/>
          <w:szCs w:val="30"/>
          <w:highlight w:val="yellow"/>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widowControl/>
        <w:spacing w:line="500" w:lineRule="exact"/>
        <w:ind w:firstLine="600" w:firstLineChars="200"/>
        <w:rPr>
          <w:rFonts w:ascii="宋体" w:hAnsi="宋体" w:cs="宋体"/>
          <w:sz w:val="30"/>
          <w:szCs w:val="30"/>
        </w:rPr>
      </w:pPr>
      <w:r>
        <w:rPr>
          <w:rFonts w:hint="eastAsia" w:ascii="宋体" w:hAnsi="宋体" w:cs="宋体"/>
          <w:sz w:val="30"/>
          <w:szCs w:val="30"/>
        </w:rPr>
        <w:t>9.1</w:t>
      </w:r>
      <w:r>
        <w:rPr>
          <w:rFonts w:hint="eastAsia" w:ascii="宋体" w:hAnsi="宋体" w:cs="宋体"/>
          <w:sz w:val="30"/>
          <w:szCs w:val="30"/>
          <w:highlight w:val="yellow"/>
        </w:rPr>
        <w:t>交货违约：</w:t>
      </w:r>
      <w:r>
        <w:rPr>
          <w:rFonts w:hint="eastAsia" w:ascii="宋体" w:hAnsi="宋体" w:cs="宋体"/>
          <w:sz w:val="30"/>
          <w:szCs w:val="30"/>
        </w:rPr>
        <w:t>如果</w:t>
      </w:r>
      <w:r>
        <w:rPr>
          <w:rFonts w:hint="eastAsia" w:ascii="宋体" w:hAnsi="宋体" w:cs="宋体"/>
          <w:sz w:val="30"/>
          <w:szCs w:val="30"/>
          <w:highlight w:val="yellow"/>
        </w:rPr>
        <w:t>供应商</w:t>
      </w:r>
      <w:r>
        <w:rPr>
          <w:rFonts w:hint="eastAsia" w:ascii="宋体" w:hAnsi="宋体" w:cs="宋体"/>
          <w:sz w:val="30"/>
          <w:szCs w:val="30"/>
        </w:rPr>
        <w:t>没有按照合同规定的时间交货和提供服务，</w:t>
      </w:r>
      <w:r>
        <w:rPr>
          <w:rFonts w:hint="eastAsia" w:ascii="宋体" w:hAnsi="宋体" w:cs="宋体"/>
          <w:sz w:val="30"/>
          <w:szCs w:val="30"/>
          <w:highlight w:val="yellow"/>
        </w:rPr>
        <w:t>采购人</w:t>
      </w:r>
      <w:r>
        <w:rPr>
          <w:rFonts w:hint="eastAsia" w:ascii="宋体" w:hAnsi="宋体" w:cs="宋体"/>
          <w:sz w:val="30"/>
          <w:szCs w:val="30"/>
        </w:rPr>
        <w:t>可从货款中扣除违约赔偿费，赔偿费应按每迟交一天，按合同总价的2‰计收。但违约赔偿费的最高限额为合同总价的</w:t>
      </w:r>
      <w:r>
        <w:rPr>
          <w:rFonts w:hint="eastAsia" w:ascii="宋体" w:hAnsi="宋体" w:cs="宋体"/>
          <w:sz w:val="30"/>
          <w:szCs w:val="30"/>
          <w:highlight w:val="yellow"/>
        </w:rPr>
        <w:t>20%</w:t>
      </w:r>
      <w:r>
        <w:rPr>
          <w:rFonts w:hint="eastAsia" w:ascii="宋体" w:hAnsi="宋体" w:cs="宋体"/>
          <w:sz w:val="30"/>
          <w:szCs w:val="30"/>
        </w:rPr>
        <w:t>。不足1天超过12个小时按一天计算。如果</w:t>
      </w:r>
      <w:r>
        <w:rPr>
          <w:rFonts w:hint="eastAsia" w:ascii="宋体" w:hAnsi="宋体" w:cs="宋体"/>
          <w:sz w:val="30"/>
          <w:szCs w:val="30"/>
          <w:highlight w:val="yellow"/>
        </w:rPr>
        <w:t>供应商</w:t>
      </w:r>
      <w:r>
        <w:rPr>
          <w:rFonts w:hint="eastAsia" w:ascii="宋体" w:hAnsi="宋体" w:cs="宋体"/>
          <w:sz w:val="30"/>
          <w:szCs w:val="30"/>
        </w:rPr>
        <w:t>在达到最高限额后仍不能交货，</w:t>
      </w:r>
      <w:r>
        <w:rPr>
          <w:rFonts w:hint="eastAsia" w:ascii="宋体" w:hAnsi="宋体" w:cs="宋体"/>
          <w:sz w:val="30"/>
          <w:szCs w:val="30"/>
          <w:highlight w:val="yellow"/>
        </w:rPr>
        <w:t>或供应商延迟交付货物超过3个月，采购人有权单方面终止合同。违约金不足时供应商应在交货时一并补缴纳。</w:t>
      </w:r>
    </w:p>
    <w:p>
      <w:pPr>
        <w:widowControl/>
        <w:spacing w:line="500" w:lineRule="exact"/>
        <w:rPr>
          <w:sz w:val="30"/>
          <w:szCs w:val="30"/>
        </w:rPr>
      </w:pPr>
      <w:r>
        <w:rPr>
          <w:rFonts w:hint="eastAsia"/>
          <w:sz w:val="30"/>
          <w:szCs w:val="30"/>
        </w:rPr>
        <w:t>9.29.2</w:t>
      </w:r>
      <w:r>
        <w:rPr>
          <w:rFonts w:hint="eastAsia" w:ascii="宋体" w:hAnsi="宋体" w:cs="宋体"/>
          <w:sz w:val="30"/>
          <w:szCs w:val="30"/>
          <w:highlight w:val="yellow"/>
        </w:rPr>
        <w:t>质保违约：</w:t>
      </w:r>
      <w:r>
        <w:rPr>
          <w:rFonts w:hint="eastAsia"/>
          <w:sz w:val="30"/>
          <w:szCs w:val="30"/>
        </w:rPr>
        <w:t>如果设备发生故障，供应商须在响应文件中承诺的时间内到达采购人处提供维修服务，“实际达到时间”每超过“承诺应到时间”24小时，扣除履约保证金5%，以此类推。在没有备用机使用的情况下，如果设备连续故障超过720个小时，采购人有权利</w:t>
      </w:r>
      <w:r>
        <w:rPr>
          <w:rFonts w:hint="eastAsia"/>
          <w:sz w:val="30"/>
          <w:szCs w:val="30"/>
          <w:highlight w:val="yellow"/>
        </w:rPr>
        <w:t>终止合同且不支付任何费用，或者要求供应商更换全新原装设备、或者采购人有权邀请第三方公司维修，所发生费用由供应商支付。</w:t>
      </w:r>
    </w:p>
    <w:p>
      <w:pPr>
        <w:widowControl/>
        <w:spacing w:line="460" w:lineRule="atLeast"/>
        <w:ind w:firstLine="600" w:firstLineChars="200"/>
        <w:jc w:val="left"/>
        <w:rPr>
          <w:sz w:val="30"/>
          <w:szCs w:val="30"/>
        </w:rPr>
      </w:pPr>
      <w:r>
        <w:rPr>
          <w:rFonts w:hint="eastAsia"/>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99000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highlight w:val="yellow"/>
        </w:rPr>
        <w:t>2</w:t>
      </w:r>
      <w:r>
        <w:rPr>
          <w:rFonts w:hint="eastAsia"/>
          <w:kern w:val="2"/>
          <w:sz w:val="30"/>
          <w:szCs w:val="30"/>
        </w:rPr>
        <w:t xml:space="preserve"> 未成交供应商的谈判保证金，在成交通知书发出后</w:t>
      </w:r>
      <w:r>
        <w:rPr>
          <w:rFonts w:hint="eastAsia"/>
          <w:kern w:val="2"/>
          <w:sz w:val="30"/>
          <w:szCs w:val="30"/>
          <w:lang w:val="en-US" w:eastAsia="zh-CN"/>
        </w:rPr>
        <w:t>1</w:t>
      </w:r>
      <w:r>
        <w:rPr>
          <w:rFonts w:hint="eastAsia"/>
          <w:kern w:val="2"/>
          <w:sz w:val="30"/>
          <w:szCs w:val="30"/>
        </w:rPr>
        <w:t>5个工作日内退还。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highlight w:val="yellow"/>
        </w:rPr>
        <w:t>3</w:t>
      </w:r>
      <w:r>
        <w:rPr>
          <w:rFonts w:hint="eastAsia"/>
          <w:kern w:val="2"/>
          <w:sz w:val="30"/>
          <w:szCs w:val="30"/>
        </w:rPr>
        <w:t>有下列情形之一的，保证金不予退还：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7"/>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7"/>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6.7响应文件正本需加盖响应供应商公章。</w:t>
      </w:r>
    </w:p>
    <w:p>
      <w:pPr>
        <w:pStyle w:val="17"/>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rPr>
          <w:b/>
          <w:sz w:val="32"/>
        </w:rPr>
      </w:pPr>
    </w:p>
    <w:p>
      <w:pPr>
        <w:rPr>
          <w:b/>
          <w:sz w:val="32"/>
        </w:rPr>
      </w:pPr>
    </w:p>
    <w:p>
      <w:pPr>
        <w:rPr>
          <w:b/>
          <w:sz w:val="32"/>
        </w:rPr>
      </w:pPr>
    </w:p>
    <w:p>
      <w:pPr>
        <w:rPr>
          <w:b/>
          <w:sz w:val="32"/>
        </w:rPr>
      </w:pPr>
    </w:p>
    <w:p>
      <w:pPr>
        <w:rPr>
          <w:b/>
          <w:sz w:val="32"/>
        </w:rPr>
      </w:pPr>
    </w:p>
    <w:p>
      <w:pPr>
        <w:rPr>
          <w:b/>
          <w:sz w:val="32"/>
        </w:rPr>
      </w:pPr>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抽签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7"/>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7"/>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7"/>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7"/>
        <w:spacing w:before="0" w:beforeAutospacing="0" w:after="0" w:afterAutospacing="0" w:line="460" w:lineRule="exact"/>
        <w:ind w:firstLine="600" w:firstLineChars="2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387418052"/>
      <w:bookmarkStart w:id="19" w:name="_Toc533775678"/>
      <w:bookmarkStart w:id="20" w:name="_Toc225565935"/>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highlight w:val="yellow"/>
          <w:u w:val="single"/>
        </w:rPr>
        <w:t>21</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highlight w:val="yellow"/>
        </w:rPr>
        <w:t>21</w:t>
      </w:r>
      <w:r>
        <w:rPr>
          <w:rFonts w:hint="eastAsia" w:ascii="仿宋" w:hAnsi="仿宋" w:eastAsia="仿宋" w:cs="仿宋"/>
          <w:kern w:val="0"/>
          <w:sz w:val="32"/>
          <w:szCs w:val="32"/>
        </w:rPr>
        <w:t>年**月**日</w:t>
      </w:r>
    </w:p>
    <w:p>
      <w:pPr>
        <w:pStyle w:val="2"/>
        <w:ind w:firstLine="627" w:firstLineChars="196"/>
        <w:jc w:val="left"/>
        <w:rPr>
          <w:rFonts w:ascii="仿宋_GB2312" w:hAnsi="仿宋_GB2312" w:eastAsia="仿宋_GB2312" w:cs="仿宋_GB2312"/>
          <w:b/>
          <w:bCs/>
          <w:szCs w:val="28"/>
          <w:u w:val="single"/>
        </w:rPr>
      </w:pPr>
      <w:r>
        <w:rPr>
          <w:rFonts w:hint="eastAsia" w:ascii="仿宋" w:hAnsi="仿宋" w:eastAsia="仿宋" w:cs="仿宋"/>
          <w:kern w:val="0"/>
          <w:sz w:val="32"/>
          <w:szCs w:val="32"/>
        </w:rPr>
        <w:t xml:space="preserve">签约地点：赣州市人民医院  </w:t>
      </w:r>
    </w:p>
    <w:p>
      <w:pPr>
        <w:rPr>
          <w:rFonts w:ascii="仿宋" w:hAnsi="仿宋" w:eastAsia="仿宋" w:cs="仿宋"/>
          <w:kern w:val="0"/>
          <w:sz w:val="32"/>
          <w:szCs w:val="32"/>
        </w:rPr>
      </w:pPr>
    </w:p>
    <w:p>
      <w:pPr>
        <w:rPr>
          <w:rFonts w:ascii="仿宋" w:hAnsi="仿宋" w:eastAsia="仿宋" w:cs="仿宋"/>
          <w:kern w:val="0"/>
          <w:sz w:val="32"/>
          <w:szCs w:val="32"/>
        </w:rPr>
      </w:pP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采购合同</w:t>
      </w:r>
    </w:p>
    <w:p>
      <w:pPr>
        <w:tabs>
          <w:tab w:val="left" w:pos="4620"/>
        </w:tabs>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b/>
          <w:bCs/>
          <w:sz w:val="28"/>
          <w:szCs w:val="28"/>
          <w:u w:val="single"/>
        </w:rPr>
        <w:t>赣州市人民医院</w:t>
      </w:r>
      <w:r>
        <w:rPr>
          <w:rFonts w:hint="eastAsia" w:ascii="仿宋_GB2312" w:hAnsi="仿宋_GB2312" w:eastAsia="仿宋_GB2312" w:cs="仿宋_GB2312"/>
          <w:sz w:val="28"/>
          <w:szCs w:val="28"/>
        </w:rPr>
        <w:t>组织招标（项目编号</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）的招标结果和招标(竞谈)文件的要求，并经双方协商一致，同意按下述条件签订本合同。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以下内容是组成本合同文件不可分割的部分：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（1）本采购合同；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注：若上述文件就某一事项意思表达不一致，则按以下顺序进行解释，合同优于中标通知书，中标通知书优于响应文件，响应文件优于招标（竞谈）文件。</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2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7" w:type="dxa"/>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325"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106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29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702"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697"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2325" w:type="dxa"/>
            <w:vAlign w:val="center"/>
          </w:tcPr>
          <w:p>
            <w:pPr>
              <w:spacing w:line="500" w:lineRule="exact"/>
              <w:jc w:val="center"/>
              <w:rPr>
                <w:rFonts w:ascii="仿宋" w:hAnsi="仿宋" w:eastAsia="仿宋" w:cs="仿宋"/>
                <w:b/>
                <w:bCs/>
                <w:sz w:val="28"/>
                <w:szCs w:val="28"/>
              </w:rPr>
            </w:pPr>
            <w:r>
              <w:rPr>
                <w:rFonts w:hint="eastAsia" w:ascii="仿宋_GB2312" w:hAnsi="仿宋_GB2312" w:eastAsia="仿宋_GB2312" w:cs="仿宋_GB2312"/>
                <w:b/>
                <w:bCs/>
                <w:sz w:val="28"/>
                <w:szCs w:val="28"/>
              </w:rPr>
              <w:t>************</w:t>
            </w:r>
          </w:p>
        </w:tc>
        <w:tc>
          <w:tcPr>
            <w:tcW w:w="106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**台</w:t>
            </w:r>
          </w:p>
        </w:tc>
        <w:tc>
          <w:tcPr>
            <w:tcW w:w="129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1702"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r>
    </w:tbl>
    <w:p>
      <w:pPr>
        <w:widowControl/>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合同总金额：本项目采用固定总价合同，合同总金额为人民币</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*******.00</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本合同总价款是货物设计、制造、包装、仓储、运输、安装及乙方应当提供的伴随服务/售后服务的所有费用。</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4、付款方式：合同签订、货物送达、安装调试、培训完成且验收合格</w:t>
      </w:r>
      <w:r>
        <w:rPr>
          <w:rFonts w:hint="eastAsia" w:ascii="仿宋_GB2312" w:hAnsi="仿宋_GB2312" w:eastAsia="仿宋_GB2312" w:cs="仿宋_GB2312"/>
          <w:sz w:val="28"/>
          <w:szCs w:val="28"/>
          <w:highlight w:val="yellow"/>
        </w:rPr>
        <w:t>2</w:t>
      </w:r>
      <w:r>
        <w:rPr>
          <w:rFonts w:hint="eastAsia" w:ascii="仿宋_GB2312" w:hAnsi="仿宋_GB2312" w:eastAsia="仿宋_GB2312" w:cs="仿宋_GB2312"/>
          <w:sz w:val="28"/>
          <w:szCs w:val="28"/>
        </w:rPr>
        <w:t xml:space="preserve">个月后凭符合国家法律规定的税票支付合同总额的100%。 </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5、质量保证</w:t>
      </w:r>
    </w:p>
    <w:p>
      <w:pPr>
        <w:spacing w:line="500" w:lineRule="exact"/>
        <w:rPr>
          <w:sz w:val="27"/>
          <w:szCs w:val="27"/>
        </w:rPr>
      </w:pPr>
      <w:r>
        <w:rPr>
          <w:rFonts w:hint="eastAsia" w:ascii="仿宋_GB2312" w:hAnsi="仿宋_GB2312" w:eastAsia="仿宋_GB2312" w:cs="仿宋_GB2312"/>
          <w:sz w:val="28"/>
          <w:szCs w:val="28"/>
        </w:rPr>
        <w:t>5.1收到中标通知书后，在合同签订前，乙方按照合同金额的10%（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）向甲方缴纳本项目的履约保证金（现金转账至甲方账户）。履约保证金在货物交付、验收合格后自动转为质保金。</w:t>
      </w:r>
      <w:r>
        <w:rPr>
          <w:rFonts w:hint="eastAsia" w:ascii="仿宋" w:hAnsi="仿宋" w:eastAsia="仿宋"/>
          <w:sz w:val="28"/>
          <w:szCs w:val="28"/>
        </w:rPr>
        <w:t>一年后退还质保金的80%，质保期过后退还剩下的20%，不计利息，如有违约，按照合同约定处理。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5.3乙方应保证为甲方提供的任何产品的全部或部分、硬件或软件等，均不得侵犯第三方合法拥有的知识产权。</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6.1乙方应在签合同之日起</w:t>
      </w:r>
      <w:r>
        <w:rPr>
          <w:rFonts w:hint="eastAsia" w:ascii="仿宋_GB2312" w:hAnsi="仿宋_GB2312" w:eastAsia="仿宋_GB2312" w:cs="仿宋_GB2312"/>
          <w:b/>
          <w:sz w:val="28"/>
          <w:szCs w:val="28"/>
          <w:highlight w:val="yellow"/>
          <w:u w:val="single"/>
        </w:rPr>
        <w:t>30</w:t>
      </w:r>
      <w:r>
        <w:rPr>
          <w:rFonts w:hint="eastAsia" w:ascii="仿宋_GB2312" w:hAnsi="仿宋_GB2312" w:eastAsia="仿宋_GB2312" w:cs="仿宋_GB2312"/>
          <w:sz w:val="28"/>
          <w:szCs w:val="28"/>
        </w:rPr>
        <w:t>日内交货且完成安装调试。</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w:t>
      </w:r>
      <w:r>
        <w:rPr>
          <w:rFonts w:hint="eastAsia" w:ascii="仿宋_GB2312" w:hAnsi="仿宋_GB2312" w:eastAsia="仿宋_GB2312" w:cs="仿宋_GB2312"/>
          <w:sz w:val="28"/>
          <w:szCs w:val="28"/>
          <w:highlight w:val="yellow"/>
        </w:rPr>
        <w:t>甲方</w:t>
      </w:r>
      <w:r>
        <w:rPr>
          <w:rFonts w:hint="eastAsia" w:ascii="仿宋_GB2312" w:hAnsi="仿宋_GB2312" w:eastAsia="仿宋_GB2312" w:cs="仿宋_GB2312"/>
          <w:sz w:val="28"/>
          <w:szCs w:val="28"/>
        </w:rPr>
        <w:t>指定地点。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7、验收标准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7.1设备的到货验收包括：型号、规格、数量、外观质量、及包装是否完好等。乙方交付的货物应当完全符合本合同或者采购文件所规定的型号、数量和规格等要求。</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7.2合同生效后，乙方应将每台设备和仪器的中文技术资料一套，如目录索引、图纸、技术说明书、操作手册、使用指南、合格证等技术资料在验收时一并交给甲方。</w:t>
      </w:r>
      <w:r>
        <w:rPr>
          <w:rFonts w:hint="eastAsia" w:ascii="仿宋_GB2312" w:hAnsi="仿宋_GB2312" w:eastAsia="仿宋_GB2312" w:cs="仿宋_GB2312"/>
          <w:b/>
          <w:bCs/>
          <w:sz w:val="28"/>
          <w:szCs w:val="28"/>
        </w:rPr>
        <w:t>技术说明书、操作手册应同时提供电子版交给甲方。</w:t>
      </w:r>
      <w:r>
        <w:rPr>
          <w:rFonts w:hint="eastAsia" w:ascii="仿宋_GB2312" w:hAnsi="仿宋_GB2312" w:eastAsia="仿宋_GB2312" w:cs="仿宋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8、伴随服务／售后服务：</w:t>
      </w:r>
    </w:p>
    <w:p>
      <w:pPr>
        <w:widowControl/>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8.1从验收合格之日起，乙方免费提供</w:t>
      </w:r>
      <w:r>
        <w:rPr>
          <w:rFonts w:hint="eastAsia" w:ascii="仿宋_GB2312" w:hAnsi="仿宋_GB2312" w:eastAsia="仿宋_GB2312" w:cs="仿宋_GB2312"/>
          <w:b/>
          <w:sz w:val="28"/>
          <w:szCs w:val="28"/>
          <w:highlight w:val="yellow"/>
          <w:u w:val="single"/>
        </w:rPr>
        <w:t>36</w:t>
      </w:r>
      <w:r>
        <w:rPr>
          <w:rFonts w:hint="eastAsia" w:ascii="仿宋_GB2312" w:hAnsi="仿宋_GB2312" w:eastAsia="仿宋_GB2312" w:cs="仿宋_GB2312"/>
          <w:b/>
          <w:sz w:val="28"/>
          <w:szCs w:val="28"/>
          <w:u w:val="single"/>
        </w:rPr>
        <w:t>个月</w:t>
      </w:r>
      <w:r>
        <w:rPr>
          <w:rFonts w:hint="eastAsia" w:ascii="仿宋_GB2312" w:hAnsi="仿宋_GB2312" w:eastAsia="仿宋_GB2312" w:cs="仿宋_GB2312"/>
          <w:sz w:val="28"/>
          <w:szCs w:val="28"/>
        </w:rPr>
        <w:t>保修期，保修期内如有无法解决的故障，免费更换或退货处理，保修期满后终身维修。乙方接到报修后</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响应，</w:t>
      </w:r>
      <w:r>
        <w:rPr>
          <w:rFonts w:hint="eastAsia" w:ascii="仿宋_GB2312" w:hAnsi="仿宋_GB2312" w:eastAsia="仿宋_GB2312" w:cs="仿宋_GB2312"/>
          <w:b/>
          <w:bCs/>
          <w:sz w:val="28"/>
          <w:szCs w:val="28"/>
          <w:highlight w:val="yellow"/>
          <w:u w:val="single"/>
        </w:rPr>
        <w:t>24</w:t>
      </w:r>
      <w:r>
        <w:rPr>
          <w:rFonts w:hint="eastAsia" w:ascii="仿宋_GB2312" w:hAnsi="仿宋_GB2312" w:eastAsia="仿宋_GB2312" w:cs="仿宋_GB2312"/>
          <w:sz w:val="28"/>
          <w:szCs w:val="28"/>
        </w:rPr>
        <w:t>小时内到现场解决故障。</w:t>
      </w:r>
      <w:r>
        <w:rPr>
          <w:rFonts w:hint="eastAsia" w:ascii="仿宋_GB2312" w:hAnsi="仿宋_GB2312" w:eastAsia="仿宋_GB2312" w:cs="仿宋_GB2312"/>
          <w:b/>
          <w:sz w:val="28"/>
          <w:szCs w:val="28"/>
        </w:rPr>
        <w:t>售后服务电话：******</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8.2乙方除应按照国家有关法律法规规章和“三包”规定提供服务外，还应提供下列服务：（1）货物的现场安装、调试和启动监督；（2）就货物的安装、启动、运行及维护等对甲方人员进行培训。</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8.3乙方安排有资质的工程师为甲方提供培训服务（工程师资</w:t>
      </w:r>
      <w:r>
        <w:rPr>
          <w:rFonts w:hint="eastAsia" w:ascii="仿宋_GB2312" w:hAnsi="仿宋_GB2312" w:eastAsia="仿宋_GB2312" w:cs="仿宋_GB2312"/>
          <w:bCs/>
          <w:sz w:val="28"/>
          <w:szCs w:val="28"/>
          <w:lang w:eastAsia="zh-CN"/>
        </w:rPr>
        <w:t>质</w:t>
      </w:r>
      <w:r>
        <w:rPr>
          <w:rFonts w:hint="eastAsia" w:ascii="仿宋_GB2312" w:hAnsi="仿宋_GB2312" w:eastAsia="仿宋_GB2312" w:cs="仿宋_GB2312"/>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9、违约责任：</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9.1 交货违约：如果乙方没有按照合同规定的时间交货和提供服务，或者违反上述约定中的任何一项，甲方有权从货款中直接扣除违约金，</w:t>
      </w:r>
      <w:r>
        <w:rPr>
          <w:rFonts w:hint="eastAsia" w:ascii="仿宋" w:hAnsi="仿宋" w:eastAsia="仿宋" w:cs="仿宋_GB2312"/>
          <w:sz w:val="28"/>
          <w:szCs w:val="28"/>
        </w:rPr>
        <w:t>违约金</w:t>
      </w:r>
      <w:r>
        <w:rPr>
          <w:rFonts w:hint="eastAsia" w:ascii="仿宋_GB2312" w:hAnsi="仿宋_GB2312" w:eastAsia="仿宋_GB2312" w:cs="仿宋_GB2312"/>
          <w:sz w:val="28"/>
          <w:szCs w:val="28"/>
        </w:rPr>
        <w:t>应按每迟一天，按合同总价的2‰计收，不足一天超过12小时按一天计算，</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20%</w:t>
      </w:r>
      <w:r>
        <w:rPr>
          <w:rFonts w:hint="eastAsia" w:ascii="仿宋" w:hAnsi="仿宋" w:eastAsia="仿宋" w:cs="仿宋_GB2312"/>
          <w:sz w:val="28"/>
          <w:szCs w:val="28"/>
        </w:rPr>
        <w:t>。</w:t>
      </w:r>
      <w:r>
        <w:rPr>
          <w:rFonts w:hint="eastAsia" w:ascii="仿宋_GB2312" w:hAnsi="仿宋_GB2312" w:eastAsia="仿宋_GB2312" w:cs="仿宋_GB2312"/>
          <w:sz w:val="28"/>
          <w:szCs w:val="28"/>
        </w:rPr>
        <w:t>如果违约金达到最高限额后乙方仍不能交货，或乙方延迟交付货物超过3个月，甲 方有权单方面终止合同。违约金不足时乙方应在交货时一并补缴纳。</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9.2 质保违约：如果设备发生故障，乙方需按照合同第8条中承诺的响应时间内到达甲方处处理故障，响应时间每超过一天（不足一天超过12小时算一天）扣除质保金的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9.3乙方所交付的货物品种、型号、规格不符合合同约定的，甲方有权拒收并由乙方承担合同总额20%的违约责任。甲方有权要求乙方重新提供设备仪器，也有权决定终止合同的履行。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10、特别约定：</w:t>
      </w:r>
    </w:p>
    <w:p>
      <w:pPr>
        <w:widowControl/>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11、合同生效：本合同在甲方收取乙方提交的履约保证金，且经甲乙双方签字盖章后生效。</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12、本合同一式伍份，以中文书写。甲方四份，乙方壹份，具有同等法律效力。</w:t>
      </w: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13、本协议未尽事宜双方协商解决，协商不成可向甲方所在地的人民法院诉讼。</w:t>
      </w: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甲方（盖章）：赣州市人民医院     乙方（盖章）：*********</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             法定代表人</w:t>
      </w:r>
    </w:p>
    <w:p>
      <w:pPr>
        <w:widowControl/>
        <w:spacing w:line="480" w:lineRule="auto"/>
        <w:ind w:firstLine="4480" w:firstLineChars="1600"/>
        <w:rPr>
          <w:rFonts w:ascii="仿宋_GB2312" w:hAnsi="仿宋_GB2312" w:eastAsia="仿宋_GB2312" w:cs="仿宋_GB2312"/>
          <w:sz w:val="24"/>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甲方纳税人识别号：              乙方开户行：***************</w:t>
      </w:r>
    </w:p>
    <w:p>
      <w:pPr>
        <w:widowControl/>
        <w:spacing w:line="480" w:lineRule="auto"/>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签字日期：    年  月  日        签字日期：    年  月  日</w:t>
      </w:r>
    </w:p>
    <w:p>
      <w:pPr>
        <w:widowControl/>
        <w:spacing w:line="480" w:lineRule="auto"/>
        <w:rPr>
          <w:rFonts w:ascii="仿宋_GB2312" w:hAnsi="仿宋_GB2312" w:eastAsia="仿宋_GB2312" w:cs="仿宋_GB2312"/>
          <w:sz w:val="28"/>
          <w:szCs w:val="28"/>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bookmarkStart w:id="37" w:name="_GoBack"/>
      <w:bookmarkEnd w:id="37"/>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134" w:right="1134" w:bottom="1134" w:left="1134" w:header="720" w:footer="720" w:gutter="0"/>
          <w:cols w:space="0" w:num="1"/>
          <w:titlePg/>
          <w:rtlGutter w:val="0"/>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2"/>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2"/>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2"/>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ind w:firstLine="118" w:firstLineChars="49"/>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highlight w:val="yellow"/>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highlight w:val="yellow"/>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2" o:spid="_x0000_s308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3089" o:spid="_x0000_s308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_x0000_s3090" o:spid="_x0000_s309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A1E6F30"/>
    <w:multiLevelType w:val="multilevel"/>
    <w:tmpl w:val="5A1E6F30"/>
    <w:lvl w:ilvl="0" w:tentative="0">
      <w:start w:val="7"/>
      <w:numFmt w:val="decimal"/>
      <w:lvlText w:val="%1、"/>
      <w:lvlJc w:val="left"/>
      <w:pPr>
        <w:ind w:left="1082" w:hanging="4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16781"/>
    <w:rsid w:val="0001748B"/>
    <w:rsid w:val="0002592F"/>
    <w:rsid w:val="00030FE8"/>
    <w:rsid w:val="00062EC7"/>
    <w:rsid w:val="00066047"/>
    <w:rsid w:val="0008464A"/>
    <w:rsid w:val="000B0F07"/>
    <w:rsid w:val="000E59B1"/>
    <w:rsid w:val="00132C65"/>
    <w:rsid w:val="00150177"/>
    <w:rsid w:val="0016252E"/>
    <w:rsid w:val="00166645"/>
    <w:rsid w:val="00183D28"/>
    <w:rsid w:val="001D45E0"/>
    <w:rsid w:val="001F265F"/>
    <w:rsid w:val="001F6F82"/>
    <w:rsid w:val="002003C5"/>
    <w:rsid w:val="00232E90"/>
    <w:rsid w:val="00237370"/>
    <w:rsid w:val="00241EC0"/>
    <w:rsid w:val="00243259"/>
    <w:rsid w:val="0026019E"/>
    <w:rsid w:val="002823A6"/>
    <w:rsid w:val="0029334A"/>
    <w:rsid w:val="002F0C52"/>
    <w:rsid w:val="003140F4"/>
    <w:rsid w:val="00320237"/>
    <w:rsid w:val="003203B7"/>
    <w:rsid w:val="0037103C"/>
    <w:rsid w:val="00375650"/>
    <w:rsid w:val="00387B41"/>
    <w:rsid w:val="003A0EC2"/>
    <w:rsid w:val="003A729E"/>
    <w:rsid w:val="003C3981"/>
    <w:rsid w:val="003D7CBF"/>
    <w:rsid w:val="00404233"/>
    <w:rsid w:val="00431EB8"/>
    <w:rsid w:val="00461BC6"/>
    <w:rsid w:val="00470E9F"/>
    <w:rsid w:val="00483BD1"/>
    <w:rsid w:val="004D0FE0"/>
    <w:rsid w:val="004F57EE"/>
    <w:rsid w:val="00550BAF"/>
    <w:rsid w:val="00551078"/>
    <w:rsid w:val="0058596B"/>
    <w:rsid w:val="00595898"/>
    <w:rsid w:val="005970B0"/>
    <w:rsid w:val="005A1707"/>
    <w:rsid w:val="005C1514"/>
    <w:rsid w:val="00606F17"/>
    <w:rsid w:val="0068322F"/>
    <w:rsid w:val="006A6165"/>
    <w:rsid w:val="006B2115"/>
    <w:rsid w:val="006C3963"/>
    <w:rsid w:val="006D6A9E"/>
    <w:rsid w:val="006D7601"/>
    <w:rsid w:val="006E44B5"/>
    <w:rsid w:val="007054CD"/>
    <w:rsid w:val="007F33BD"/>
    <w:rsid w:val="008044DD"/>
    <w:rsid w:val="00816453"/>
    <w:rsid w:val="00822917"/>
    <w:rsid w:val="00854F51"/>
    <w:rsid w:val="00881104"/>
    <w:rsid w:val="00887C6A"/>
    <w:rsid w:val="0089499C"/>
    <w:rsid w:val="008C0DAA"/>
    <w:rsid w:val="008C31FC"/>
    <w:rsid w:val="008C3ADA"/>
    <w:rsid w:val="00946E9E"/>
    <w:rsid w:val="009F36DB"/>
    <w:rsid w:val="00A10985"/>
    <w:rsid w:val="00A2769E"/>
    <w:rsid w:val="00A574FA"/>
    <w:rsid w:val="00A93CA8"/>
    <w:rsid w:val="00AB35A9"/>
    <w:rsid w:val="00AD3670"/>
    <w:rsid w:val="00B1204C"/>
    <w:rsid w:val="00B20DF8"/>
    <w:rsid w:val="00B31A76"/>
    <w:rsid w:val="00B82A75"/>
    <w:rsid w:val="00B85379"/>
    <w:rsid w:val="00BA54A1"/>
    <w:rsid w:val="00BB67EC"/>
    <w:rsid w:val="00BD0040"/>
    <w:rsid w:val="00BD798F"/>
    <w:rsid w:val="00BD7DFC"/>
    <w:rsid w:val="00BF161C"/>
    <w:rsid w:val="00C70D58"/>
    <w:rsid w:val="00CC3DD1"/>
    <w:rsid w:val="00CE5392"/>
    <w:rsid w:val="00D01AC3"/>
    <w:rsid w:val="00D60870"/>
    <w:rsid w:val="00D930E9"/>
    <w:rsid w:val="00E113B0"/>
    <w:rsid w:val="00E87C1E"/>
    <w:rsid w:val="00E9713E"/>
    <w:rsid w:val="00EF41CB"/>
    <w:rsid w:val="00F138FE"/>
    <w:rsid w:val="00F204CC"/>
    <w:rsid w:val="00F23761"/>
    <w:rsid w:val="00F42638"/>
    <w:rsid w:val="00F579A2"/>
    <w:rsid w:val="00F66CFE"/>
    <w:rsid w:val="00F7786A"/>
    <w:rsid w:val="00FD6DE2"/>
    <w:rsid w:val="01112CA8"/>
    <w:rsid w:val="020413E9"/>
    <w:rsid w:val="03A25835"/>
    <w:rsid w:val="03DB0C15"/>
    <w:rsid w:val="040B2539"/>
    <w:rsid w:val="044F29E9"/>
    <w:rsid w:val="05944970"/>
    <w:rsid w:val="05A259F1"/>
    <w:rsid w:val="06434357"/>
    <w:rsid w:val="09C0315B"/>
    <w:rsid w:val="0D114D25"/>
    <w:rsid w:val="0DBF66E3"/>
    <w:rsid w:val="0E161F02"/>
    <w:rsid w:val="0EB73E2B"/>
    <w:rsid w:val="136F081D"/>
    <w:rsid w:val="15976F54"/>
    <w:rsid w:val="15C21D0E"/>
    <w:rsid w:val="17C85C71"/>
    <w:rsid w:val="185F2E14"/>
    <w:rsid w:val="1967240D"/>
    <w:rsid w:val="1BDA6E59"/>
    <w:rsid w:val="1CE11745"/>
    <w:rsid w:val="1EAE02AF"/>
    <w:rsid w:val="21152A38"/>
    <w:rsid w:val="21B40E5C"/>
    <w:rsid w:val="226547CD"/>
    <w:rsid w:val="24326DF1"/>
    <w:rsid w:val="2787664C"/>
    <w:rsid w:val="29A84304"/>
    <w:rsid w:val="2B1117BB"/>
    <w:rsid w:val="2EA451BE"/>
    <w:rsid w:val="2F0C4AC8"/>
    <w:rsid w:val="33C852BE"/>
    <w:rsid w:val="346E5D9C"/>
    <w:rsid w:val="350230B9"/>
    <w:rsid w:val="35A6339D"/>
    <w:rsid w:val="37285450"/>
    <w:rsid w:val="37513ABD"/>
    <w:rsid w:val="37D35675"/>
    <w:rsid w:val="37DF52E0"/>
    <w:rsid w:val="38815307"/>
    <w:rsid w:val="3C8461D9"/>
    <w:rsid w:val="3DB86EC2"/>
    <w:rsid w:val="3E36565C"/>
    <w:rsid w:val="3F566DB0"/>
    <w:rsid w:val="3FDB4206"/>
    <w:rsid w:val="40044169"/>
    <w:rsid w:val="427450A4"/>
    <w:rsid w:val="42C7044E"/>
    <w:rsid w:val="44AC07D5"/>
    <w:rsid w:val="45946512"/>
    <w:rsid w:val="45B075AB"/>
    <w:rsid w:val="46B81C44"/>
    <w:rsid w:val="482923C6"/>
    <w:rsid w:val="493263F6"/>
    <w:rsid w:val="495316D7"/>
    <w:rsid w:val="4AD203D4"/>
    <w:rsid w:val="559348C8"/>
    <w:rsid w:val="55B67588"/>
    <w:rsid w:val="5AD7610B"/>
    <w:rsid w:val="5AE1172E"/>
    <w:rsid w:val="5B853D75"/>
    <w:rsid w:val="5F482BBC"/>
    <w:rsid w:val="608B564A"/>
    <w:rsid w:val="625F55C8"/>
    <w:rsid w:val="629C7D87"/>
    <w:rsid w:val="63470076"/>
    <w:rsid w:val="6381334D"/>
    <w:rsid w:val="6F066E31"/>
    <w:rsid w:val="700A6127"/>
    <w:rsid w:val="7189237A"/>
    <w:rsid w:val="71B205C1"/>
    <w:rsid w:val="71C93182"/>
    <w:rsid w:val="73192E1A"/>
    <w:rsid w:val="73E877E6"/>
    <w:rsid w:val="74967D18"/>
    <w:rsid w:val="76324A3F"/>
    <w:rsid w:val="77855D8E"/>
    <w:rsid w:val="77A607E9"/>
    <w:rsid w:val="78F47FE0"/>
    <w:rsid w:val="79B23531"/>
    <w:rsid w:val="7B4E2D2D"/>
    <w:rsid w:val="7BFB28EF"/>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qFormat/>
    <w:uiPriority w:val="0"/>
    <w:rPr>
      <w:b/>
      <w:bCs/>
    </w:rPr>
  </w:style>
  <w:style w:type="paragraph" w:styleId="6">
    <w:name w:val="annotation text"/>
    <w:basedOn w:val="1"/>
    <w:link w:val="33"/>
    <w:semiHidden/>
    <w:qFormat/>
    <w:uiPriority w:val="0"/>
    <w:pPr>
      <w:jc w:val="left"/>
    </w:pPr>
  </w:style>
  <w:style w:type="paragraph" w:styleId="7">
    <w:name w:val="Body Text"/>
    <w:basedOn w:val="1"/>
    <w:link w:val="41"/>
    <w:qFormat/>
    <w:uiPriority w:val="0"/>
    <w:pPr>
      <w:spacing w:after="120"/>
    </w:pPr>
  </w:style>
  <w:style w:type="paragraph" w:styleId="8">
    <w:name w:val="toc 3"/>
    <w:basedOn w:val="1"/>
    <w:next w:val="1"/>
    <w:qFormat/>
    <w:uiPriority w:val="39"/>
    <w:pPr>
      <w:ind w:left="840" w:leftChars="400"/>
    </w:pPr>
  </w:style>
  <w:style w:type="paragraph" w:styleId="9">
    <w:name w:val="Plain Text"/>
    <w:basedOn w:val="1"/>
    <w:link w:val="31"/>
    <w:qFormat/>
    <w:uiPriority w:val="0"/>
    <w:pPr>
      <w:spacing w:line="360" w:lineRule="auto"/>
    </w:pPr>
    <w:rPr>
      <w:rFonts w:ascii="楷体_GB2312" w:hAnsi="Courier New" w:eastAsia="楷体_GB2312"/>
      <w:sz w:val="24"/>
    </w:rPr>
  </w:style>
  <w:style w:type="paragraph" w:styleId="10">
    <w:name w:val="Date"/>
    <w:basedOn w:val="1"/>
    <w:next w:val="1"/>
    <w:link w:val="37"/>
    <w:qFormat/>
    <w:uiPriority w:val="0"/>
    <w:rPr>
      <w:sz w:val="28"/>
    </w:rPr>
  </w:style>
  <w:style w:type="paragraph" w:styleId="11">
    <w:name w:val="Body Text Indent 2"/>
    <w:basedOn w:val="1"/>
    <w:link w:val="29"/>
    <w:qFormat/>
    <w:uiPriority w:val="99"/>
    <w:pPr>
      <w:spacing w:line="312" w:lineRule="auto"/>
      <w:ind w:firstLine="480" w:firstLineChars="200"/>
    </w:pPr>
    <w:rPr>
      <w:sz w:val="24"/>
    </w:rPr>
  </w:style>
  <w:style w:type="paragraph" w:styleId="12">
    <w:name w:val="Balloon Text"/>
    <w:basedOn w:val="1"/>
    <w:link w:val="35"/>
    <w:semiHidden/>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8"/>
    <w:link w:val="14"/>
    <w:semiHidden/>
    <w:qFormat/>
    <w:uiPriority w:val="99"/>
    <w:rPr>
      <w:sz w:val="18"/>
      <w:szCs w:val="18"/>
    </w:rPr>
  </w:style>
  <w:style w:type="character" w:customStyle="1" w:styleId="25">
    <w:name w:val="页脚 Char"/>
    <w:basedOn w:val="18"/>
    <w:link w:val="13"/>
    <w:qFormat/>
    <w:uiPriority w:val="0"/>
    <w:rPr>
      <w:sz w:val="18"/>
      <w:szCs w:val="18"/>
    </w:rPr>
  </w:style>
  <w:style w:type="character" w:customStyle="1" w:styleId="26">
    <w:name w:val="标题 1 Char"/>
    <w:basedOn w:val="18"/>
    <w:link w:val="2"/>
    <w:qFormat/>
    <w:uiPriority w:val="99"/>
    <w:rPr>
      <w:rFonts w:ascii="宋体" w:hAnsi="Times New Roman" w:eastAsia="宋体" w:cs="Times New Roman"/>
      <w:sz w:val="28"/>
      <w:szCs w:val="20"/>
    </w:rPr>
  </w:style>
  <w:style w:type="character" w:customStyle="1" w:styleId="27">
    <w:name w:val="标题 2 Char"/>
    <w:basedOn w:val="18"/>
    <w:link w:val="3"/>
    <w:qFormat/>
    <w:uiPriority w:val="99"/>
    <w:rPr>
      <w:rFonts w:ascii="Arial" w:hAnsi="Arial" w:eastAsia="黑体" w:cs="Times New Roman"/>
      <w:b/>
      <w:bCs/>
      <w:sz w:val="32"/>
      <w:szCs w:val="32"/>
    </w:rPr>
  </w:style>
  <w:style w:type="character" w:customStyle="1" w:styleId="28">
    <w:name w:val="标题 3 Char"/>
    <w:basedOn w:val="18"/>
    <w:link w:val="4"/>
    <w:qFormat/>
    <w:uiPriority w:val="0"/>
    <w:rPr>
      <w:rFonts w:ascii="Times New Roman" w:hAnsi="Times New Roman" w:eastAsia="宋体" w:cs="Times New Roman"/>
      <w:b/>
      <w:bCs/>
      <w:sz w:val="32"/>
      <w:szCs w:val="32"/>
    </w:rPr>
  </w:style>
  <w:style w:type="character" w:customStyle="1" w:styleId="29">
    <w:name w:val="正文文本缩进 2 Char"/>
    <w:basedOn w:val="18"/>
    <w:link w:val="11"/>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18"/>
    <w:link w:val="9"/>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18"/>
    <w:link w:val="6"/>
    <w:semiHidden/>
    <w:qFormat/>
    <w:uiPriority w:val="0"/>
    <w:rPr>
      <w:rFonts w:ascii="Times New Roman" w:hAnsi="Times New Roman" w:eastAsia="宋体" w:cs="Times New Roman"/>
      <w:szCs w:val="20"/>
    </w:rPr>
  </w:style>
  <w:style w:type="character" w:customStyle="1" w:styleId="34">
    <w:name w:val="批注主题 Char"/>
    <w:basedOn w:val="33"/>
    <w:link w:val="5"/>
    <w:semiHidden/>
    <w:qFormat/>
    <w:uiPriority w:val="0"/>
    <w:rPr>
      <w:rFonts w:ascii="Times New Roman" w:hAnsi="Times New Roman" w:eastAsia="宋体" w:cs="Times New Roman"/>
      <w:b/>
      <w:bCs/>
      <w:szCs w:val="20"/>
    </w:rPr>
  </w:style>
  <w:style w:type="character" w:customStyle="1" w:styleId="35">
    <w:name w:val="批注框文本 Char"/>
    <w:basedOn w:val="18"/>
    <w:link w:val="12"/>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18"/>
    <w:link w:val="10"/>
    <w:qFormat/>
    <w:uiPriority w:val="0"/>
    <w:rPr>
      <w:rFonts w:ascii="Times New Roman" w:hAnsi="Times New Roman" w:eastAsia="宋体" w:cs="Times New Roman"/>
      <w:sz w:val="28"/>
      <w:szCs w:val="20"/>
    </w:rPr>
  </w:style>
  <w:style w:type="paragraph" w:customStyle="1" w:styleId="38">
    <w:name w:val="Char"/>
    <w:basedOn w:val="1"/>
    <w:qFormat/>
    <w:uiPriority w:val="0"/>
    <w:rPr>
      <w:rFonts w:ascii="仿宋_GB2312" w:eastAsia="仿宋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18"/>
    <w:qFormat/>
    <w:uiPriority w:val="0"/>
  </w:style>
  <w:style w:type="character" w:customStyle="1" w:styleId="41">
    <w:name w:val="正文文本 Char"/>
    <w:basedOn w:val="18"/>
    <w:link w:val="7"/>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C8BA1-215A-4A89-94E4-AD9182EA108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2026</Words>
  <Characters>11552</Characters>
  <Lines>96</Lines>
  <Paragraphs>27</Paragraphs>
  <TotalTime>13</TotalTime>
  <ScaleCrop>false</ScaleCrop>
  <LinksUpToDate>false</LinksUpToDate>
  <CharactersWithSpaces>13551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2021-01-20T07:44:00Z</cp:lastPrinted>
  <dcterms:modified xsi:type="dcterms:W3CDTF">2021-03-05T00:21:01Z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