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  <w:lang w:val="en-US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附件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>1：</w:t>
      </w:r>
    </w:p>
    <w:p>
      <w:pPr>
        <w:widowControl/>
        <w:autoSpaceDE w:val="0"/>
        <w:spacing w:before="100" w:beforeAutospacing="1" w:after="100" w:afterAutospacing="1" w:line="480" w:lineRule="auto"/>
        <w:jc w:val="center"/>
        <w:rPr>
          <w:rFonts w:ascii="Arial" w:hAnsi="Arial" w:cs="Arial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kern w:val="0"/>
          <w:sz w:val="29"/>
        </w:rPr>
        <w:t>关于赣州市人民医院弱电工程服务项目报价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Arial"/>
          <w:kern w:val="0"/>
          <w:sz w:val="29"/>
          <w:szCs w:val="29"/>
        </w:rPr>
        <w:t>赣州市人民医院：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仿宋" w:hAnsi="仿宋" w:eastAsia="仿宋" w:cs="Arial"/>
          <w:kern w:val="0"/>
          <w:sz w:val="29"/>
          <w:szCs w:val="29"/>
        </w:rPr>
        <w:t>我公司对贵单位弱电工程服务项目报价为</w:t>
      </w:r>
      <w:r>
        <w:rPr>
          <w:rFonts w:hint="eastAsia" w:ascii="仿宋" w:hAnsi="仿宋" w:eastAsia="仿宋" w:cs="Arial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  <w:u w:val="single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  <w:u w:val="single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  <w:u w:val="single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  <w:u w:val="single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  <w:u w:val="single"/>
        </w:rPr>
        <w:t> </w:t>
      </w:r>
      <w:r>
        <w:rPr>
          <w:rFonts w:hint="eastAsia" w:ascii="仿宋" w:hAnsi="仿宋" w:eastAsia="仿宋" w:cs="Arial"/>
          <w:kern w:val="0"/>
          <w:sz w:val="29"/>
          <w:szCs w:val="29"/>
        </w:rPr>
        <w:t>元。详细报价清单见附件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29"/>
          <w:szCs w:val="29"/>
        </w:rPr>
        <w:t>。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公司名称（盖章）：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联系人：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联系电话：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日期：</w:t>
      </w:r>
    </w:p>
    <w:p>
      <w:pPr>
        <w:widowControl/>
        <w:autoSpaceDE w:val="0"/>
        <w:spacing w:before="100" w:beforeAutospacing="1" w:after="100" w:afterAutospacing="1" w:line="480" w:lineRule="auto"/>
        <w:jc w:val="left"/>
        <w:rPr>
          <w:rFonts w:hint="eastAsia" w:ascii="宋体" w:hAnsi="宋体" w:cs="宋体"/>
          <w:kern w:val="0"/>
          <w:sz w:val="29"/>
          <w:szCs w:val="29"/>
        </w:rPr>
      </w:pPr>
    </w:p>
    <w:p>
      <w:pPr>
        <w:pStyle w:val="4"/>
        <w:jc w:val="left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br w:type="page"/>
      </w:r>
    </w:p>
    <w:p>
      <w:pPr>
        <w:pStyle w:val="4"/>
        <w:jc w:val="left"/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附件</w:t>
      </w:r>
      <w:r>
        <w:rPr>
          <w:rFonts w:hint="eastAsia" w:ascii="仿宋" w:hAnsi="仿宋" w:eastAsia="仿宋" w:cs="Arial"/>
          <w:kern w:val="0"/>
          <w:sz w:val="29"/>
          <w:szCs w:val="29"/>
          <w:lang w:val="en-US" w:eastAsia="zh-CN"/>
        </w:rPr>
        <w:t>2:</w:t>
      </w:r>
    </w:p>
    <w:p>
      <w:pPr>
        <w:pStyle w:val="4"/>
        <w:jc w:val="center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弱电工程</w:t>
      </w:r>
      <w:r>
        <w:rPr>
          <w:rFonts w:ascii="仿宋" w:hAnsi="仿宋" w:eastAsia="仿宋" w:cs="Arial"/>
          <w:kern w:val="0"/>
          <w:sz w:val="29"/>
          <w:szCs w:val="29"/>
        </w:rPr>
        <w:t>服务项目报价细分项</w:t>
      </w:r>
      <w:r>
        <w:rPr>
          <w:rFonts w:hint="eastAsia" w:ascii="仿宋" w:hAnsi="仿宋" w:eastAsia="仿宋" w:cs="Arial"/>
          <w:kern w:val="0"/>
          <w:sz w:val="29"/>
          <w:szCs w:val="29"/>
        </w:rPr>
        <w:t>表</w:t>
      </w:r>
    </w:p>
    <w:p>
      <w:pPr>
        <w:widowControl/>
        <w:spacing w:before="100" w:beforeAutospacing="1" w:after="100" w:afterAutospacing="1" w:line="480" w:lineRule="auto"/>
        <w:jc w:val="left"/>
        <w:rPr>
          <w:rFonts w:hint="eastAsia" w:ascii="仿宋" w:hAnsi="仿宋" w:eastAsia="仿宋" w:cs="仿宋"/>
          <w:kern w:val="0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kern w:val="0"/>
          <w:sz w:val="29"/>
          <w:szCs w:val="29"/>
          <w:lang w:val="en-US" w:eastAsia="zh-CN"/>
        </w:rPr>
        <w:t>（注：下列项目报价要求包含所有费用，</w:t>
      </w:r>
      <w:r>
        <w:rPr>
          <w:rFonts w:hint="eastAsia" w:ascii="仿宋" w:hAnsi="仿宋" w:eastAsia="仿宋" w:cs="仿宋"/>
          <w:kern w:val="0"/>
          <w:sz w:val="29"/>
          <w:szCs w:val="29"/>
        </w:rPr>
        <w:t>包括但不限于劳务费、</w:t>
      </w:r>
      <w:r>
        <w:rPr>
          <w:rFonts w:hint="eastAsia" w:ascii="仿宋" w:hAnsi="仿宋" w:eastAsia="仿宋" w:cs="仿宋"/>
          <w:kern w:val="0"/>
          <w:sz w:val="29"/>
          <w:szCs w:val="29"/>
          <w:lang w:eastAsia="zh-CN"/>
        </w:rPr>
        <w:t>安装费、</w:t>
      </w:r>
      <w:r>
        <w:rPr>
          <w:rFonts w:hint="eastAsia" w:ascii="仿宋" w:hAnsi="仿宋" w:eastAsia="仿宋" w:cs="仿宋"/>
          <w:kern w:val="0"/>
          <w:sz w:val="29"/>
          <w:szCs w:val="29"/>
        </w:rPr>
        <w:t>服务费、税费</w:t>
      </w:r>
      <w:r>
        <w:rPr>
          <w:rFonts w:hint="eastAsia" w:ascii="仿宋" w:hAnsi="仿宋" w:eastAsia="仿宋" w:cs="仿宋"/>
          <w:kern w:val="0"/>
          <w:sz w:val="29"/>
          <w:szCs w:val="29"/>
          <w:lang w:eastAsia="zh-CN"/>
        </w:rPr>
        <w:t>等，</w:t>
      </w:r>
      <w:r>
        <w:rPr>
          <w:rFonts w:hint="eastAsia" w:ascii="仿宋" w:hAnsi="仿宋" w:eastAsia="仿宋" w:cs="仿宋"/>
          <w:kern w:val="0"/>
          <w:sz w:val="29"/>
          <w:szCs w:val="29"/>
          <w:lang w:val="en-US" w:eastAsia="zh-CN"/>
        </w:rPr>
        <w:t>且满足服务要求。）</w:t>
      </w:r>
    </w:p>
    <w:tbl>
      <w:tblPr>
        <w:tblStyle w:val="8"/>
        <w:tblW w:w="9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2010"/>
        <w:gridCol w:w="3075"/>
        <w:gridCol w:w="944"/>
        <w:gridCol w:w="1109"/>
        <w:gridCol w:w="809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规格（适用机型）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网络布线（6类网线，含人工费）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安普，康普，TCL；包含施工、模块等(按一个信息点报价)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16口千兆交换机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TP-LINK、华为、水星等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TP-LINK、华为、水星等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5口千兆交换机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TP-LINK、华为、水星等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无线路由450M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TP-LINK、华为，水星等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双频无线路由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TP-LINK、华为、水星等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落地式机柜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18U（1000mm*600mm*600mm）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2米6类成品网线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艾德生，安普，TCL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3米6类成品网线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艾德生，安普，TCL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网络信息模块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网络模块面板（明装）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网络模块面板（暗装）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门禁控制线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深安讯RVV8*0.75（含施工）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深安讯RVV8*1.0（含施工）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IC发卡器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达实DAC FK5622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IC门禁读头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达实DAC GY5730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刷卡指纹门禁一体机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达实DAC ZW5035-A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二维码门禁读头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达实 DAC GY5750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多门门禁控制器（二门）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达实 DAC MJ8012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多门门禁控制器（四门）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达实 DAC MJ8014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单门磁力锁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DAC KJ-300/3K1M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双门磁力锁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DAC KJ-300/3K2M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台式语音消费机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DAC XF4870/R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一拖一可视对讲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狄耐克 AB-280S8001-1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高清红外网络摄像头室内半球机（200万）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宇视科技/海康威视/大华(含安装，平台接入调试）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高清红外网络摄像头室内枪机（200万）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宇视科技/海康威视/大华(含安装，平台接入调试）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高清红外网络摄像头室外高速球（200万）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宇视科技/海康威视/大华(含安装，平台接入调试）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高清红外网络摄像头室外枪机（200万）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宇视科技/海康威视/大华(含安装，平台接入调试）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网络硬盘录像机（16路、双盘位）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宇视科技/海康威视/大华(含安装，平台接入调试）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网络硬盘录像机（8路、双盘位）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宇视科技/海康威视/大华(含安装，平台接入调试）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监控存储硬盘（4TB）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宇视科技/海康威视/大华(含安装，平台接入调试）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监控存储硬盘（2TB）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宇视科技/海康威视/大华(含安装，平台接入调试）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无线网桥电梯专用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液晶拼接屏幕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 M46PJCH-DS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网线识别标签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自助终端机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DAC ZD4210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一拖二可视对讲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狄耐克 AB-280S8001-2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磁力锁线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深安迅 RVV4*0.75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DAC BMQ52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复旦M1（S50）/3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监控集中供电电源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小耳朵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监控独立供电电源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小耳朵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8芯单模光缆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深安讯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8芯多模光缆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深安讯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3米单模光纤跳线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5米单模光纤跳线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10米单模光纤跳线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15米单模光纤跳线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3米多模光纤跳线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5米多模光纤跳线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10米多模光纤跳线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15米多模光纤跳线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光模块（万兆，单模）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华为、华三等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光模块（万兆，多模）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华为、华三等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光模块（千兆，多模）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华为、华三等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单模光纤收发器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普联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卡片打印机碳带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Goodcard_XR260D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探视与监护系统医护主机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 YT-815C（含安装费，接入调试）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探视与监护系统床头分机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 YH-A29C（含安装费，接入调试）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探视与监护系统探视分机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 YT-265C（含安装费，接入调试）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探视与监护系统悬臂支架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 YT-B603S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探视与监护系统悬臂支架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 YT-B603V1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探视与监护系统探视推车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 YT-C2（含安装费，接入调试）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探视与监护系统外置电源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 YT-P200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探视与监护系统网络多媒体控制器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 YH-NC2-N（含安装费，接入调试）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left"/>
        <w:rPr>
          <w:rFonts w:hint="eastAsia" w:eastAsia="仿宋"/>
          <w:color w:val="auto"/>
          <w:sz w:val="28"/>
          <w:szCs w:val="28"/>
          <w:highlight w:val="none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left"/>
        <w:rPr>
          <w:rFonts w:hint="eastAsia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eastAsia="仿宋"/>
          <w:color w:val="auto"/>
          <w:sz w:val="28"/>
          <w:szCs w:val="28"/>
          <w:highlight w:val="none"/>
          <w:lang w:eastAsia="zh-CN"/>
        </w:rPr>
        <w:br w:type="page"/>
      </w:r>
    </w:p>
    <w:p>
      <w:pPr>
        <w:widowControl/>
        <w:spacing w:before="100" w:beforeAutospacing="1" w:after="100" w:afterAutospacing="1" w:line="480" w:lineRule="auto"/>
        <w:jc w:val="left"/>
        <w:rPr>
          <w:rFonts w:eastAsia="仿宋"/>
          <w:color w:val="auto"/>
          <w:sz w:val="28"/>
          <w:szCs w:val="28"/>
          <w:highlight w:val="none"/>
        </w:rPr>
      </w:pPr>
      <w:r>
        <w:rPr>
          <w:rFonts w:hint="eastAsia" w:eastAsia="仿宋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>3：</w:t>
      </w:r>
    </w:p>
    <w:tbl>
      <w:tblPr>
        <w:tblStyle w:val="9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544"/>
        <w:gridCol w:w="1701"/>
        <w:gridCol w:w="1134"/>
        <w:gridCol w:w="1134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687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赣州市人民医院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lang w:eastAsia="zh-CN"/>
              </w:rPr>
              <w:t>弱电工程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服务项目考核表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扣罚标准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发生次数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 xml:space="preserve">扣罚金额 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工作纪律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 xml:space="preserve">工作人员迟到、 早退的。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200元/次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工作时间内未穿工作服或未戴工牌的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200元/次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脱岗或上班时间做与工作无关的事的。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200元/次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 xml:space="preserve">工作人员无故旷工的。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600元/次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服务效率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接到报修后， 在工作时间未能 15 分钟内到现场的八小时外未能在 45 分钟内到现场的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200元/次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外送维修的设备未在 2 个工作日内回复维修情况的、返厂设备未在 30 日内完成维修的、其它设备未在 7 日内完成维修的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500元/次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每月</w:t>
            </w:r>
            <w:r>
              <w:rPr>
                <w:rFonts w:hint="eastAsia" w:ascii="仿宋" w:hAnsi="仿宋" w:eastAsia="仿宋" w:cs="仿宋"/>
                <w:kern w:val="0"/>
                <w:sz w:val="29"/>
                <w:szCs w:val="29"/>
                <w:highlight w:val="none"/>
              </w:rPr>
              <w:t>服务范围</w:t>
            </w:r>
            <w:r>
              <w:rPr>
                <w:rFonts w:hint="eastAsia" w:ascii="仿宋" w:hAnsi="仿宋" w:eastAsia="仿宋" w:cs="仿宋"/>
                <w:kern w:val="0"/>
                <w:sz w:val="29"/>
                <w:szCs w:val="29"/>
                <w:highlight w:val="none"/>
                <w:lang w:eastAsia="zh-CN"/>
              </w:rPr>
              <w:t>内</w:t>
            </w: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故障修复及时完成率未达 90%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2000 元/月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服务态度和质量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无人接听报修电话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100 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服务过程中未做到态度和蔼</w:t>
            </w:r>
            <w:r>
              <w:rPr>
                <w:rStyle w:val="13"/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服务热情的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100元/次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不按院方要求安装</w:t>
            </w:r>
            <w:r>
              <w:rPr>
                <w:rStyle w:val="13"/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硬件、软件和布线的</w:t>
            </w: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500元/次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在维护或施工过程， 损坏医院公物的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200元/次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，且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损坏物品照价赔偿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Style w:val="13"/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13"/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卡片管理不善，造成严重损失和浪费的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200元/次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，且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损坏物品照价赔偿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常用设备现场无法修复时，提供不了备机的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500 元/次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未按要求</w:t>
            </w: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提供的相关设备、 配件的</w:t>
            </w:r>
            <w:r>
              <w:rPr>
                <w:rStyle w:val="13"/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（如提供非合同指定产品或非正品的）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2000 元/次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院方有重要任务时， 未能积极响应并将人员安排到位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500 元/次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Style w:val="13"/>
                <w:rFonts w:hint="default"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每月未完成至少巡查一次全院弱电机房。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500 元/次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Style w:val="13"/>
                <w:rFonts w:hint="default"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弱电机房脏乱差， 堆积杂物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200 元/次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9"/>
                <w:szCs w:val="29"/>
                <w:lang w:val="en-US" w:eastAsia="zh-CN"/>
              </w:rPr>
              <w:t>未按照相关行业标准及医院要求进行线路整理的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200 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Style w:val="13"/>
                <w:rFonts w:hint="default"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工作中发现重大问题， 有瞒报和漏报的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500 元/次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Style w:val="13"/>
                <w:rFonts w:hint="default"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被医院员工有效投诉的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500 元/次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line="400" w:lineRule="exact"/>
              <w:jc w:val="left"/>
              <w:rPr>
                <w:rStyle w:val="13"/>
                <w:rFonts w:hint="default"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在合同期内遭到5 次有效投诉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highlight w:val="none"/>
              </w:rPr>
            </w:pPr>
            <w:r>
              <w:rPr>
                <w:rStyle w:val="13"/>
                <w:rFonts w:hint="default" w:ascii="仿宋" w:hAnsi="仿宋" w:eastAsia="仿宋"/>
                <w:color w:val="auto"/>
                <w:sz w:val="28"/>
                <w:szCs w:val="28"/>
                <w:highlight w:val="none"/>
              </w:rPr>
              <w:t>院方有权无条件中止合同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汇总</w:t>
            </w:r>
          </w:p>
        </w:tc>
        <w:tc>
          <w:tcPr>
            <w:tcW w:w="3200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687" w:type="dxa"/>
            <w:gridSpan w:val="6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28"/>
                <w:szCs w:val="28"/>
                <w:highlight w:val="none"/>
              </w:rPr>
              <w:t>考核日期：                            总分合计：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b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28"/>
                <w:szCs w:val="28"/>
                <w:highlight w:val="none"/>
              </w:rPr>
              <w:t>考核人签名：</w:t>
            </w:r>
          </w:p>
        </w:tc>
      </w:tr>
    </w:tbl>
    <w:p>
      <w:pPr>
        <w:pStyle w:val="4"/>
        <w:jc w:val="both"/>
        <w:rPr>
          <w:rFonts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84"/>
    <w:rsid w:val="001205E3"/>
    <w:rsid w:val="001A6127"/>
    <w:rsid w:val="00231D2E"/>
    <w:rsid w:val="002A4459"/>
    <w:rsid w:val="002C44C7"/>
    <w:rsid w:val="003235BC"/>
    <w:rsid w:val="00451560"/>
    <w:rsid w:val="006B4A72"/>
    <w:rsid w:val="006C0583"/>
    <w:rsid w:val="00705A54"/>
    <w:rsid w:val="00820D87"/>
    <w:rsid w:val="00836FB7"/>
    <w:rsid w:val="008A15DC"/>
    <w:rsid w:val="008C7884"/>
    <w:rsid w:val="00906896"/>
    <w:rsid w:val="00A02E78"/>
    <w:rsid w:val="00C6316D"/>
    <w:rsid w:val="00CF6EC4"/>
    <w:rsid w:val="00E14B92"/>
    <w:rsid w:val="00EB4C4D"/>
    <w:rsid w:val="00EF53AE"/>
    <w:rsid w:val="00F3728E"/>
    <w:rsid w:val="0CD411A2"/>
    <w:rsid w:val="11234655"/>
    <w:rsid w:val="11764820"/>
    <w:rsid w:val="13E20C17"/>
    <w:rsid w:val="152F4D74"/>
    <w:rsid w:val="15882DCE"/>
    <w:rsid w:val="18E133A7"/>
    <w:rsid w:val="1AA23BCB"/>
    <w:rsid w:val="1D1C5CAF"/>
    <w:rsid w:val="21CF2F4D"/>
    <w:rsid w:val="273D0F7B"/>
    <w:rsid w:val="2AF5567A"/>
    <w:rsid w:val="2B1F45D8"/>
    <w:rsid w:val="2CA4349C"/>
    <w:rsid w:val="2D2F576A"/>
    <w:rsid w:val="2FDB1B69"/>
    <w:rsid w:val="31EF14A2"/>
    <w:rsid w:val="36C760DE"/>
    <w:rsid w:val="3AD86D07"/>
    <w:rsid w:val="3CF9493C"/>
    <w:rsid w:val="40962852"/>
    <w:rsid w:val="411D6667"/>
    <w:rsid w:val="42D42460"/>
    <w:rsid w:val="48856927"/>
    <w:rsid w:val="4A06237C"/>
    <w:rsid w:val="4B92169B"/>
    <w:rsid w:val="4BDC28A9"/>
    <w:rsid w:val="4C852F31"/>
    <w:rsid w:val="4F5B20B0"/>
    <w:rsid w:val="538812E3"/>
    <w:rsid w:val="54F234CE"/>
    <w:rsid w:val="56DF0D24"/>
    <w:rsid w:val="584C5D32"/>
    <w:rsid w:val="59D21DD0"/>
    <w:rsid w:val="5BF57F36"/>
    <w:rsid w:val="5C8A3CCC"/>
    <w:rsid w:val="5D217FBE"/>
    <w:rsid w:val="608F3501"/>
    <w:rsid w:val="614B1747"/>
    <w:rsid w:val="61913D81"/>
    <w:rsid w:val="61FE0612"/>
    <w:rsid w:val="622F4953"/>
    <w:rsid w:val="62BA544E"/>
    <w:rsid w:val="66094DD1"/>
    <w:rsid w:val="6C5C1FD2"/>
    <w:rsid w:val="6F6667CC"/>
    <w:rsid w:val="7043711E"/>
    <w:rsid w:val="704F4F4E"/>
    <w:rsid w:val="70EA20C8"/>
    <w:rsid w:val="7268090E"/>
    <w:rsid w:val="77765320"/>
    <w:rsid w:val="79BB4ABA"/>
    <w:rsid w:val="7A6B1E73"/>
    <w:rsid w:val="7C1150DB"/>
    <w:rsid w:val="7C8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</w:pPr>
    <w:rPr>
      <w:rFonts w:ascii="Arial" w:hAnsi="Arial" w:eastAsia="黑体"/>
      <w:b/>
      <w:sz w:val="32"/>
    </w:rPr>
  </w:style>
  <w:style w:type="paragraph" w:styleId="4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7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485</Words>
  <Characters>2765</Characters>
  <Lines>23</Lines>
  <Paragraphs>6</Paragraphs>
  <TotalTime>6</TotalTime>
  <ScaleCrop>false</ScaleCrop>
  <LinksUpToDate>false</LinksUpToDate>
  <CharactersWithSpaces>3244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2020-05-11T00:49:00Z</dcterms:created>
  <dc:creator>opzw</dc:creator>
  <cp:lastModifiedBy>RMYY_Fan</cp:lastModifiedBy>
  <cp:lastPrinted>2021-02-26T01:00:00Z</cp:lastPrinted>
  <dcterms:modified xsi:type="dcterms:W3CDTF">2021-05-06T06:56:48Z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